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A5B49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3A289039" w:rsidR="00543AD5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4BB34D52" w14:textId="77777777" w:rsidR="00543AD5" w:rsidRDefault="00543AD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96A9C76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C9A5651" w14:textId="39FDB1B6" w:rsidR="00543AD5" w:rsidRDefault="003C4B20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A40562">
        <w:rPr>
          <w:rFonts w:ascii="Arial" w:hAnsi="Arial" w:cs="Arial"/>
          <w:b/>
          <w:color w:val="auto"/>
          <w:sz w:val="24"/>
          <w:szCs w:val="24"/>
        </w:rPr>
        <w:t>I</w:t>
      </w:r>
      <w:r w:rsidR="007B6ED1">
        <w:rPr>
          <w:rFonts w:ascii="Arial" w:hAnsi="Arial" w:cs="Arial"/>
          <w:b/>
          <w:color w:val="auto"/>
          <w:sz w:val="24"/>
          <w:szCs w:val="24"/>
        </w:rPr>
        <w:t>I</w:t>
      </w:r>
      <w:r w:rsidR="004411A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A5177">
        <w:rPr>
          <w:rFonts w:ascii="Arial" w:hAnsi="Arial" w:cs="Arial"/>
          <w:b/>
          <w:color w:val="auto"/>
          <w:sz w:val="24"/>
          <w:szCs w:val="24"/>
        </w:rPr>
        <w:t>kwartał 2021</w:t>
      </w:r>
      <w:r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37EE3678" w14:textId="77777777" w:rsidR="00543AD5" w:rsidRDefault="003C4B2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14:paraId="421976F4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3D044" w14:textId="77777777" w:rsidR="00543AD5" w:rsidRPr="00CA5177" w:rsidRDefault="003C4B2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5177">
              <w:rPr>
                <w:rFonts w:ascii="Arial" w:hAnsi="Arial" w:cs="Arial"/>
                <w:color w:val="000000" w:themeColor="text1"/>
                <w:sz w:val="18"/>
                <w:szCs w:val="18"/>
              </w:rPr>
              <w:t>Cyfrowa Piaskownica Administracji</w:t>
            </w:r>
          </w:p>
        </w:tc>
      </w:tr>
      <w:tr w:rsidR="00543AD5" w14:paraId="67620800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608F3" w14:textId="0AE179D2" w:rsidR="00543AD5" w:rsidRDefault="00866122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543AD5" w14:paraId="1C9A8675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9F721" w14:textId="5F9178B1" w:rsidR="00543AD5" w:rsidRDefault="003F2B1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Kancelaria Prezesa Rady Ministrów</w:t>
            </w:r>
          </w:p>
        </w:tc>
      </w:tr>
      <w:tr w:rsidR="00543AD5" w14:paraId="1EC5ECB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EDBDF" w14:textId="77777777" w:rsidR="00543AD5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n/d</w:t>
            </w:r>
          </w:p>
        </w:tc>
      </w:tr>
      <w:tr w:rsidR="00543AD5" w14:paraId="07791C1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A089B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543AD5" w14:paraId="16F3D6E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74EB9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10 768 697,58 PLN</w:t>
            </w:r>
          </w:p>
        </w:tc>
      </w:tr>
      <w:tr w:rsidR="00543AD5" w14:paraId="5DC257C3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849C1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10 755 397,58 PLN</w:t>
            </w:r>
          </w:p>
        </w:tc>
      </w:tr>
      <w:tr w:rsidR="00543AD5" w14:paraId="1B6D39E6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CE50A" w14:textId="77777777" w:rsidR="00543AD5" w:rsidRDefault="003C4B20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01-07-2019</w:t>
            </w:r>
          </w:p>
          <w:p w14:paraId="77B3AEFA" w14:textId="51C872B5" w:rsidR="00543AD5" w:rsidRDefault="00CA5177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Pierwotna d</w:t>
            </w:r>
            <w:r w:rsidR="003C4B20">
              <w:rPr>
                <w:rFonts w:ascii="Arial" w:hAnsi="Arial" w:cs="Arial"/>
                <w:color w:val="000000" w:themeColor="text1"/>
                <w:sz w:val="18"/>
                <w:szCs w:val="18"/>
              </w:rPr>
              <w:t>ata zakończenia realizacji projektu</w:t>
            </w:r>
            <w:r w:rsidR="003C4B20">
              <w:rPr>
                <w:rStyle w:val="Zakotwicze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3C4B20">
              <w:rPr>
                <w:rFonts w:ascii="Arial" w:hAnsi="Arial" w:cs="Arial"/>
                <w:color w:val="000000" w:themeColor="text1"/>
                <w:sz w:val="18"/>
                <w:szCs w:val="18"/>
              </w:rPr>
              <w:t>: 31-05-2021</w:t>
            </w:r>
          </w:p>
          <w:p w14:paraId="3DC00405" w14:textId="1C6045F0" w:rsidR="00CA5177" w:rsidRDefault="00CA5177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Data zakończenia realizacji projektu: </w:t>
            </w:r>
            <w:r w:rsidR="007B6ED1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7B6ED1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-2021</w:t>
            </w:r>
          </w:p>
          <w:p w14:paraId="6389F165" w14:textId="04A7C524" w:rsidR="00CB7594" w:rsidRDefault="007B6ED1" w:rsidP="00CB5950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pandemią wywołaną COVID-19 i koniecznością zmiany priorytetów w realizowanych działaniach</w:t>
            </w:r>
            <w:r w:rsidR="004E0038" w:rsidRPr="00C43608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 także oddelegowanie części zespołu CPA do innych priorytetowych zadań</w:t>
            </w:r>
            <w:r w:rsidR="00524F74">
              <w:rPr>
                <w:rFonts w:ascii="Arial" w:hAnsi="Arial" w:cs="Arial"/>
                <w:color w:val="000000" w:themeColor="text1"/>
                <w:sz w:val="18"/>
                <w:szCs w:val="18"/>
              </w:rPr>
              <w:t>, wystąpiono do IP z prośbą o wydłużenie okresu realizacji projektu. IP mając na uwadze przedstawione uzasadnienie wyraziło zgodę na zmianę terminu zakończenia realizacji projektu. 26 sierpnia 2021 r. został podpisany Aneks nr: POPC.02.02.00-00-0032/</w:t>
            </w:r>
            <w:r w:rsidR="00524F74" w:rsidRPr="00524F74">
              <w:rPr>
                <w:rFonts w:ascii="Arial" w:hAnsi="Arial" w:cs="Arial"/>
                <w:color w:val="000000" w:themeColor="text1"/>
                <w:sz w:val="18"/>
                <w:szCs w:val="18"/>
              </w:rPr>
              <w:t>19-</w:t>
            </w:r>
            <w:r w:rsidR="00524F74">
              <w:rPr>
                <w:rFonts w:ascii="Arial" w:hAnsi="Arial" w:cs="Arial"/>
                <w:color w:val="000000" w:themeColor="text1"/>
                <w:sz w:val="18"/>
                <w:szCs w:val="18"/>
              </w:rPr>
              <w:t>02</w:t>
            </w:r>
          </w:p>
          <w:p w14:paraId="7E0B87FF" w14:textId="3A5E6AB2" w:rsidR="00CB5950" w:rsidRDefault="00CB5950" w:rsidP="00CB7594">
            <w:pPr>
              <w:spacing w:after="0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</w:tbl>
    <w:p w14:paraId="4852F490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317D0125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23A1B133" w14:textId="77777777" w:rsidR="00543AD5" w:rsidRDefault="003C4B20">
      <w:p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W ramach realizacji projektu nie przewidziano wprowadzania zmian prawnych.</w:t>
      </w:r>
    </w:p>
    <w:p w14:paraId="0D17B351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6146F055" w14:textId="77777777" w:rsidR="00543AD5" w:rsidRDefault="003C4B20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14:paraId="45693DEE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Pr="00D22CBA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2CB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24F135A" w14:textId="77777777" w:rsidR="00543AD5" w:rsidRPr="00D22CBA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2CB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EA61B10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43AD5" w14:paraId="3E6F3928" w14:textId="77777777">
        <w:tc>
          <w:tcPr>
            <w:tcW w:w="2972" w:type="dxa"/>
            <w:shd w:val="clear" w:color="auto" w:fill="auto"/>
          </w:tcPr>
          <w:p w14:paraId="7179BCE2" w14:textId="2A4463F7" w:rsidR="00A42497" w:rsidRPr="00D22CBA" w:rsidRDefault="007E7070" w:rsidP="00891B4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90,32</w:t>
            </w:r>
            <w:r w:rsidR="00A42497" w:rsidRPr="00D22CBA">
              <w:rPr>
                <w:rFonts w:ascii="Arial" w:hAnsi="Arial" w:cs="Arial"/>
                <w:sz w:val="18"/>
                <w:szCs w:val="20"/>
              </w:rPr>
              <w:t>%</w:t>
            </w:r>
            <w:r w:rsidR="009F6D65" w:rsidRPr="00D22CB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6B9C8C21" w14:textId="1C6AF7F3" w:rsidR="00866122" w:rsidRPr="007E7070" w:rsidRDefault="007E7070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E7070">
              <w:rPr>
                <w:rFonts w:ascii="Arial" w:hAnsi="Arial" w:cs="Arial"/>
                <w:color w:val="000000" w:themeColor="text1"/>
                <w:sz w:val="18"/>
                <w:szCs w:val="20"/>
              </w:rPr>
              <w:t>38,01</w:t>
            </w:r>
            <w:r w:rsidR="00866122" w:rsidRPr="007E707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165C996E" w14:textId="77777777" w:rsidR="007E7070" w:rsidRPr="007E7070" w:rsidRDefault="007E7070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018114D" w14:textId="77777777" w:rsidR="007E7070" w:rsidRPr="007E7070" w:rsidRDefault="007E7070" w:rsidP="007E707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E7070">
              <w:rPr>
                <w:rFonts w:ascii="Arial" w:hAnsi="Arial" w:cs="Arial"/>
                <w:color w:val="000000" w:themeColor="text1"/>
                <w:sz w:val="18"/>
                <w:szCs w:val="20"/>
              </w:rPr>
              <w:t>37,85%</w:t>
            </w:r>
          </w:p>
          <w:p w14:paraId="0805C30A" w14:textId="77777777" w:rsidR="007E7070" w:rsidRPr="00D22CBA" w:rsidRDefault="007E7070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FB8C19A" w14:textId="77777777" w:rsidR="00866122" w:rsidRPr="00D22CBA" w:rsidRDefault="00866122" w:rsidP="0086612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74AEE3B" w14:textId="22A01F09" w:rsidR="00543AD5" w:rsidRPr="00D22CBA" w:rsidRDefault="009A3C36" w:rsidP="00891B4B"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37,85</w:t>
            </w:r>
            <w:r w:rsidR="00866122" w:rsidRPr="00D22CB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  <w:shd w:val="clear" w:color="auto" w:fill="auto"/>
          </w:tcPr>
          <w:p w14:paraId="2430CD63" w14:textId="77777777" w:rsidR="00D206E1" w:rsidRDefault="001A2C9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9505E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58,68</w:t>
            </w:r>
            <w:r w:rsidR="003C4B20" w:rsidRPr="0009505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10A253A2" w14:textId="257B2B03" w:rsidR="00543AD5" w:rsidRPr="00A40562" w:rsidRDefault="00D206E1" w:rsidP="00524F7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  <w:highlight w:val="yellow"/>
              </w:rPr>
            </w:pPr>
            <w:r>
              <w:t xml:space="preserve">Beneficjent </w:t>
            </w:r>
            <w:r w:rsidR="00524F74">
              <w:t>wydłużył okres</w:t>
            </w:r>
            <w:r>
              <w:t xml:space="preserve"> realizacji projektu do 31.12.2021 r. z </w:t>
            </w:r>
            <w:r>
              <w:lastRenderedPageBreak/>
              <w:t>uwagi na fakt, że część zespołu decyzją Ministra została oddelegowana do prac nad systemem SEPIS</w:t>
            </w:r>
            <w:r w:rsidR="009A52B2">
              <w:t xml:space="preserve"> i harmonogram prac przewidziany w projekcie CPA nie mógł być realizowany zgodnie z założeniami</w:t>
            </w:r>
            <w:r>
              <w:t xml:space="preserve">. </w:t>
            </w:r>
          </w:p>
        </w:tc>
      </w:tr>
    </w:tbl>
    <w:p w14:paraId="63D4450E" w14:textId="77777777" w:rsidR="00543AD5" w:rsidRDefault="00543AD5"/>
    <w:p w14:paraId="616A22B8" w14:textId="77777777" w:rsidR="00543AD5" w:rsidRDefault="00543AD5"/>
    <w:p w14:paraId="3FC2D79E" w14:textId="77777777" w:rsidR="00543AD5" w:rsidRDefault="003C4B20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</w:p>
    <w:p w14:paraId="30D69C05" w14:textId="77777777" w:rsidR="00543AD5" w:rsidRPr="008C11F6" w:rsidRDefault="003C4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8C11F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017"/>
        <w:gridCol w:w="1468"/>
        <w:gridCol w:w="1676"/>
        <w:gridCol w:w="1812"/>
        <w:gridCol w:w="2666"/>
      </w:tblGrid>
      <w:tr w:rsidR="00543AD5" w:rsidRPr="008C11F6" w14:paraId="52912362" w14:textId="77777777">
        <w:trPr>
          <w:tblHeader/>
        </w:trPr>
        <w:tc>
          <w:tcPr>
            <w:tcW w:w="2119" w:type="dxa"/>
            <w:shd w:val="clear" w:color="auto" w:fill="D0CECE" w:themeFill="background2" w:themeFillShade="E6"/>
          </w:tcPr>
          <w:p w14:paraId="342C3A91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</w:tcPr>
          <w:p w14:paraId="1FCFA2D8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8C11F6"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7BA70DF5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7" w:type="dxa"/>
            <w:shd w:val="clear" w:color="auto" w:fill="D0CECE" w:themeFill="background2" w:themeFillShade="E6"/>
          </w:tcPr>
          <w:p w14:paraId="52CF79DF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</w:tcPr>
          <w:p w14:paraId="7C83423D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43AD5" w:rsidRPr="008C11F6" w14:paraId="2DCAF6DF" w14:textId="77777777">
        <w:tc>
          <w:tcPr>
            <w:tcW w:w="2119" w:type="dxa"/>
            <w:shd w:val="clear" w:color="auto" w:fill="auto"/>
          </w:tcPr>
          <w:p w14:paraId="25073EF2" w14:textId="77777777" w:rsidR="00543AD5" w:rsidRPr="008C11F6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Zakończenie</w:t>
            </w:r>
          </w:p>
          <w:p w14:paraId="22068350" w14:textId="1497D636" w:rsidR="00543AD5" w:rsidRPr="008C11F6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E</w:t>
            </w:r>
            <w:r w:rsidR="003C4B20" w:rsidRPr="008C11F6">
              <w:rPr>
                <w:rFonts w:cs="Arial"/>
                <w:b/>
                <w:color w:val="000000" w:themeColor="text1"/>
              </w:rPr>
              <w:t>tapu nr I</w:t>
            </w:r>
            <w:r w:rsidR="003C4B20" w:rsidRPr="008C11F6">
              <w:rPr>
                <w:rFonts w:cs="Arial"/>
                <w:color w:val="000000" w:themeColor="text1"/>
              </w:rPr>
              <w:t xml:space="preserve"> (Portal</w:t>
            </w:r>
          </w:p>
          <w:p w14:paraId="6EE84CC8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współpracy,</w:t>
            </w:r>
          </w:p>
          <w:p w14:paraId="60D681C0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Platforma API CPA</w:t>
            </w:r>
          </w:p>
          <w:p w14:paraId="203C8E93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v1.0, Portfel API v1,</w:t>
            </w:r>
          </w:p>
          <w:p w14:paraId="4E365F7D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uruchomiona</w:t>
            </w:r>
          </w:p>
          <w:p w14:paraId="16FA2032" w14:textId="20019C0D" w:rsidR="00543AD5" w:rsidRPr="008C11F6" w:rsidRDefault="00062FFD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I</w:t>
            </w:r>
            <w:r w:rsidR="003C4B20" w:rsidRPr="008C11F6">
              <w:rPr>
                <w:rFonts w:cs="Arial"/>
                <w:color w:val="000000" w:themeColor="text1"/>
              </w:rPr>
              <w:t>nicjatywa nr I)</w:t>
            </w:r>
          </w:p>
        </w:tc>
        <w:tc>
          <w:tcPr>
            <w:tcW w:w="1518" w:type="dxa"/>
            <w:shd w:val="clear" w:color="auto" w:fill="auto"/>
          </w:tcPr>
          <w:p w14:paraId="14B1D337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KPI3 (100)</w:t>
            </w:r>
          </w:p>
        </w:tc>
        <w:tc>
          <w:tcPr>
            <w:tcW w:w="1306" w:type="dxa"/>
            <w:shd w:val="clear" w:color="auto" w:fill="auto"/>
          </w:tcPr>
          <w:p w14:paraId="0500AF8A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color w:val="000000" w:themeColor="text1"/>
              </w:rPr>
              <w:t>09-2019</w:t>
            </w:r>
          </w:p>
        </w:tc>
        <w:tc>
          <w:tcPr>
            <w:tcW w:w="1907" w:type="dxa"/>
            <w:shd w:val="clear" w:color="auto" w:fill="auto"/>
          </w:tcPr>
          <w:p w14:paraId="065AEA59" w14:textId="43866AB9" w:rsidR="00543AD5" w:rsidRPr="008C11F6" w:rsidRDefault="003C4B2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10-2019</w:t>
            </w:r>
          </w:p>
        </w:tc>
        <w:tc>
          <w:tcPr>
            <w:tcW w:w="2789" w:type="dxa"/>
            <w:shd w:val="clear" w:color="auto" w:fill="auto"/>
          </w:tcPr>
          <w:p w14:paraId="68DD080F" w14:textId="77777777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>Osiągnięty.</w:t>
            </w:r>
          </w:p>
          <w:p w14:paraId="028B1C57" w14:textId="77777777" w:rsidR="00543AD5" w:rsidRPr="008C11F6" w:rsidRDefault="003C4B20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Przyczyną opóźnienia były trudności z </w:t>
            </w:r>
            <w:proofErr w:type="spellStart"/>
            <w:r w:rsidRPr="008C11F6">
              <w:rPr>
                <w:rFonts w:eastAsia="Times New Roman" w:cs="Arial"/>
                <w:color w:val="000000" w:themeColor="text1"/>
              </w:rPr>
              <w:t>mitygacją</w:t>
            </w:r>
            <w:proofErr w:type="spellEnd"/>
            <w:r w:rsidRPr="008C11F6">
              <w:rPr>
                <w:rFonts w:eastAsia="Times New Roman" w:cs="Arial"/>
                <w:color w:val="000000" w:themeColor="text1"/>
              </w:rPr>
              <w:t xml:space="preserve"> problemów związanych ze współpracą z partnerem zewnętrznym w zakresie dostarczenia infrastruktury dla środowisk rozwiązania oraz powstałe miesięczne opóźnienie w rekrutacji osoby na stanowisko lidera zespołu programistów.</w:t>
            </w:r>
          </w:p>
        </w:tc>
      </w:tr>
      <w:tr w:rsidR="00543AD5" w14:paraId="62A811BD" w14:textId="77777777">
        <w:tc>
          <w:tcPr>
            <w:tcW w:w="2119" w:type="dxa"/>
            <w:shd w:val="clear" w:color="auto" w:fill="auto"/>
          </w:tcPr>
          <w:p w14:paraId="5E6D8481" w14:textId="77777777" w:rsidR="00543AD5" w:rsidRPr="008C11F6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Zakończenie</w:t>
            </w:r>
          </w:p>
          <w:p w14:paraId="2A814240" w14:textId="78CC6EAB" w:rsidR="00543AD5" w:rsidRPr="008C11F6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E</w:t>
            </w:r>
            <w:r w:rsidR="003C4B20" w:rsidRPr="008C11F6">
              <w:rPr>
                <w:rFonts w:cs="Arial"/>
                <w:b/>
                <w:color w:val="000000" w:themeColor="text1"/>
              </w:rPr>
              <w:t>tapu nr II</w:t>
            </w:r>
            <w:r w:rsidR="003C4B20" w:rsidRPr="008C11F6">
              <w:rPr>
                <w:rFonts w:cs="Arial"/>
                <w:color w:val="000000" w:themeColor="text1"/>
              </w:rPr>
              <w:t xml:space="preserve"> (Platforma</w:t>
            </w:r>
          </w:p>
          <w:p w14:paraId="3BD74E9E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API CPA v3, Portfel</w:t>
            </w:r>
          </w:p>
          <w:p w14:paraId="4DEFD42C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API v7, zrealizowana</w:t>
            </w:r>
          </w:p>
          <w:p w14:paraId="04AB6E7C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Inicjatywa nr I,</w:t>
            </w:r>
          </w:p>
          <w:p w14:paraId="3FBA3E00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uruchomiona</w:t>
            </w:r>
          </w:p>
          <w:p w14:paraId="66E94D41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Inicjatywa nr II)</w:t>
            </w:r>
          </w:p>
        </w:tc>
        <w:tc>
          <w:tcPr>
            <w:tcW w:w="1518" w:type="dxa"/>
            <w:shd w:val="clear" w:color="auto" w:fill="auto"/>
          </w:tcPr>
          <w:p w14:paraId="1F45ACDA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KPI2</w:t>
            </w:r>
          </w:p>
        </w:tc>
        <w:tc>
          <w:tcPr>
            <w:tcW w:w="1306" w:type="dxa"/>
            <w:shd w:val="clear" w:color="auto" w:fill="auto"/>
          </w:tcPr>
          <w:p w14:paraId="4F04F2CC" w14:textId="77777777" w:rsidR="00543AD5" w:rsidRPr="008C11F6" w:rsidRDefault="003C4B20">
            <w:pPr>
              <w:spacing w:after="0" w:line="240" w:lineRule="auto"/>
            </w:pPr>
            <w:r w:rsidRPr="008C11F6"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1907" w:type="dxa"/>
            <w:shd w:val="clear" w:color="auto" w:fill="auto"/>
          </w:tcPr>
          <w:p w14:paraId="0BE36084" w14:textId="10832F50" w:rsidR="00543AD5" w:rsidRPr="008C11F6" w:rsidRDefault="003C4B20">
            <w:pPr>
              <w:pStyle w:val="Akapitzlist"/>
              <w:spacing w:after="0" w:line="240" w:lineRule="auto"/>
              <w:ind w:left="7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2789" w:type="dxa"/>
            <w:shd w:val="clear" w:color="auto" w:fill="auto"/>
          </w:tcPr>
          <w:p w14:paraId="2CFA6AB7" w14:textId="77777777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Osiągnięty. </w:t>
            </w:r>
          </w:p>
          <w:p w14:paraId="1DDCC241" w14:textId="77777777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>Miesięczne opóźnienie spowodowane było kilkoma czynnikami:</w:t>
            </w:r>
          </w:p>
          <w:p w14:paraId="3914EDF0" w14:textId="77777777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>1) brakiem developera Java w zespole podstawowym,</w:t>
            </w:r>
          </w:p>
          <w:p w14:paraId="00F704E8" w14:textId="50DABEAA" w:rsidR="00433C03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2) </w:t>
            </w:r>
            <w:r w:rsidR="00433C03" w:rsidRPr="008C11F6">
              <w:t>zmianą założeń dotyczących budowania społeczności oraz zamówienia na projekty graficzne,</w:t>
            </w:r>
          </w:p>
          <w:p w14:paraId="506DD4C7" w14:textId="72D1711F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>3) opóźnieni</w:t>
            </w:r>
            <w:r w:rsidR="00433C03" w:rsidRPr="008C11F6">
              <w:rPr>
                <w:rFonts w:eastAsia="Times New Roman" w:cs="Arial"/>
                <w:color w:val="000000" w:themeColor="text1"/>
              </w:rPr>
              <w:t>em</w:t>
            </w:r>
            <w:r w:rsidRPr="008C11F6">
              <w:rPr>
                <w:rFonts w:eastAsia="Times New Roman" w:cs="Arial"/>
                <w:color w:val="000000" w:themeColor="text1"/>
              </w:rPr>
              <w:t xml:space="preserve"> w postępowaniu na usługę formalno-prawną.</w:t>
            </w:r>
            <w:r w:rsidR="00FF1993" w:rsidRPr="008C11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3741555E" w14:textId="655614F1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Dodatkowo podczas realizacji założeń </w:t>
            </w:r>
            <w:r w:rsidR="00C161F2" w:rsidRPr="008C11F6">
              <w:rPr>
                <w:rFonts w:eastAsia="Times New Roman" w:cs="Arial"/>
                <w:color w:val="000000" w:themeColor="text1"/>
              </w:rPr>
              <w:t>E</w:t>
            </w:r>
            <w:r w:rsidRPr="008C11F6">
              <w:rPr>
                <w:rFonts w:eastAsia="Times New Roman" w:cs="Arial"/>
                <w:color w:val="000000" w:themeColor="text1"/>
              </w:rPr>
              <w:t>tapu II wynik</w:t>
            </w:r>
            <w:r w:rsidR="00EC42FE" w:rsidRPr="008C11F6">
              <w:rPr>
                <w:rFonts w:eastAsia="Times New Roman" w:cs="Arial"/>
                <w:color w:val="000000" w:themeColor="text1"/>
              </w:rPr>
              <w:t>nę</w:t>
            </w:r>
            <w:r w:rsidRPr="008C11F6">
              <w:rPr>
                <w:rFonts w:eastAsia="Times New Roman" w:cs="Arial"/>
                <w:color w:val="000000" w:themeColor="text1"/>
              </w:rPr>
              <w:t>ła konieczność zakupu certyfikatów SSL na potrzeby integracji z Węzłem Krajowym</w:t>
            </w:r>
            <w:r w:rsidR="00F93096" w:rsidRPr="008C11F6">
              <w:rPr>
                <w:rFonts w:eastAsia="Times New Roman" w:cs="Arial"/>
                <w:color w:val="000000" w:themeColor="text1"/>
              </w:rPr>
              <w:t>. Całość postępo</w:t>
            </w:r>
            <w:r w:rsidR="00F93096" w:rsidRPr="008C11F6">
              <w:rPr>
                <w:rFonts w:eastAsia="Times New Roman" w:cs="Arial"/>
                <w:color w:val="000000" w:themeColor="text1"/>
              </w:rPr>
              <w:lastRenderedPageBreak/>
              <w:t>wania</w:t>
            </w:r>
            <w:r w:rsidR="00F17CB7" w:rsidRPr="008C11F6">
              <w:rPr>
                <w:rFonts w:eastAsia="Times New Roman" w:cs="Arial"/>
                <w:color w:val="000000" w:themeColor="text1"/>
              </w:rPr>
              <w:t xml:space="preserve">, tj. </w:t>
            </w:r>
            <w:r w:rsidR="00F93096" w:rsidRPr="008C11F6">
              <w:rPr>
                <w:rFonts w:eastAsia="Times New Roman" w:cs="Arial"/>
                <w:color w:val="000000" w:themeColor="text1"/>
              </w:rPr>
              <w:t>zakup i implementację certyfikatów</w:t>
            </w:r>
            <w:r w:rsidR="00F17CB7" w:rsidRPr="008C11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8C11F6">
              <w:rPr>
                <w:rFonts w:eastAsia="Times New Roman" w:cs="Arial"/>
                <w:color w:val="000000" w:themeColor="text1"/>
              </w:rPr>
              <w:t xml:space="preserve">obsłużył zespół podstawowy. </w:t>
            </w:r>
          </w:p>
          <w:p w14:paraId="6074D5A2" w14:textId="32F8E342" w:rsidR="00543AD5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Pomimo braku </w:t>
            </w:r>
            <w:r w:rsidR="00433C03" w:rsidRPr="008C11F6">
              <w:rPr>
                <w:rFonts w:eastAsia="Times New Roman" w:cs="Arial"/>
                <w:color w:val="000000" w:themeColor="text1"/>
              </w:rPr>
              <w:t xml:space="preserve">developera </w:t>
            </w:r>
            <w:r w:rsidRPr="008C11F6">
              <w:rPr>
                <w:rFonts w:eastAsia="Times New Roman" w:cs="Arial"/>
                <w:color w:val="000000" w:themeColor="text1"/>
              </w:rPr>
              <w:t>Java zrealizowano zaplanowane trzy  wydania repozytorium API oraz dwa wydania Platformy API CPA.</w:t>
            </w:r>
          </w:p>
          <w:p w14:paraId="7D34838F" w14:textId="77777777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sz w:val="20"/>
              </w:rPr>
              <w:t xml:space="preserve"> </w:t>
            </w:r>
          </w:p>
        </w:tc>
      </w:tr>
      <w:tr w:rsidR="00543AD5" w14:paraId="1CE03DBD" w14:textId="77777777">
        <w:tc>
          <w:tcPr>
            <w:tcW w:w="2119" w:type="dxa"/>
            <w:shd w:val="clear" w:color="auto" w:fill="auto"/>
          </w:tcPr>
          <w:p w14:paraId="64BD6530" w14:textId="77777777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lastRenderedPageBreak/>
              <w:t>Zakończenie</w:t>
            </w:r>
          </w:p>
          <w:p w14:paraId="50DFC0FF" w14:textId="10A1DD2F" w:rsidR="00543AD5" w:rsidRDefault="00FF1993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III</w:t>
            </w:r>
          </w:p>
          <w:p w14:paraId="32FBD95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(Platforma API CPA</w:t>
            </w:r>
          </w:p>
          <w:p w14:paraId="02CCDAB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v4, Portfel API v16,</w:t>
            </w:r>
          </w:p>
          <w:p w14:paraId="07F01DC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zrealizowane</w:t>
            </w:r>
          </w:p>
          <w:p w14:paraId="21B295EA" w14:textId="5A9CC4CD" w:rsidR="00543AD5" w:rsidRDefault="00087B16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nicjatywy nr II i III)</w:t>
            </w:r>
          </w:p>
        </w:tc>
        <w:tc>
          <w:tcPr>
            <w:tcW w:w="1518" w:type="dxa"/>
            <w:shd w:val="clear" w:color="auto" w:fill="auto"/>
          </w:tcPr>
          <w:p w14:paraId="5B2DF4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KPI5</w:t>
            </w:r>
          </w:p>
        </w:tc>
        <w:tc>
          <w:tcPr>
            <w:tcW w:w="1306" w:type="dxa"/>
            <w:shd w:val="clear" w:color="auto" w:fill="auto"/>
          </w:tcPr>
          <w:p w14:paraId="2965F3D3" w14:textId="77777777" w:rsidR="00543AD5" w:rsidRDefault="00D04BC9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12</w:t>
            </w:r>
            <w:r w:rsidR="005723DC" w:rsidRPr="00BD6960">
              <w:rPr>
                <w:rFonts w:eastAsia="Times New Roman" w:cs="Arial"/>
                <w:color w:val="000000" w:themeColor="text1"/>
              </w:rPr>
              <w:t>-2021</w:t>
            </w:r>
          </w:p>
          <w:p w14:paraId="0D16813C" w14:textId="02370DB0" w:rsidR="0064535B" w:rsidRPr="00BD6960" w:rsidRDefault="0066114A" w:rsidP="00F14941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T</w:t>
            </w:r>
            <w:r w:rsidR="0064535B">
              <w:rPr>
                <w:rFonts w:eastAsia="Times New Roman" w:cs="Arial"/>
                <w:color w:val="000000" w:themeColor="text1"/>
              </w:rPr>
              <w:t xml:space="preserve">ermin osiągnięcia kamienia milowego został </w:t>
            </w:r>
            <w:r>
              <w:rPr>
                <w:rFonts w:eastAsia="Times New Roman" w:cs="Arial"/>
                <w:color w:val="000000" w:themeColor="text1"/>
              </w:rPr>
              <w:t xml:space="preserve">zmieniony </w:t>
            </w:r>
            <w:r w:rsidR="00F14941">
              <w:rPr>
                <w:rFonts w:eastAsia="Times New Roman" w:cs="Arial"/>
                <w:color w:val="000000" w:themeColor="text1"/>
              </w:rPr>
              <w:t>na podstaw</w:t>
            </w:r>
            <w:r w:rsidR="00F14941" w:rsidRPr="00C43608">
              <w:rPr>
                <w:rFonts w:eastAsia="Times New Roman" w:cs="Arial"/>
                <w:color w:val="000000" w:themeColor="text1"/>
              </w:rPr>
              <w:t xml:space="preserve">ie podpisanego </w:t>
            </w:r>
            <w:r w:rsidRPr="00C43608">
              <w:rPr>
                <w:rFonts w:eastAsia="Times New Roman" w:cs="Arial"/>
                <w:color w:val="000000" w:themeColor="text1"/>
              </w:rPr>
              <w:t>26 sierpnia 2021 r. Aneks</w:t>
            </w:r>
            <w:r w:rsidR="00C43608" w:rsidRPr="00C43608">
              <w:rPr>
                <w:rFonts w:eastAsia="Times New Roman" w:cs="Arial"/>
                <w:color w:val="000000" w:themeColor="text1"/>
              </w:rPr>
              <w:t>u</w:t>
            </w:r>
            <w:r w:rsidRPr="0066114A">
              <w:rPr>
                <w:rFonts w:eastAsia="Times New Roman" w:cs="Arial"/>
                <w:color w:val="000000" w:themeColor="text1"/>
              </w:rPr>
              <w:t xml:space="preserve"> nr</w:t>
            </w:r>
            <w:r w:rsidR="008D0BB6">
              <w:rPr>
                <w:rFonts w:eastAsia="Times New Roman" w:cs="Arial"/>
                <w:color w:val="000000" w:themeColor="text1"/>
              </w:rPr>
              <w:t xml:space="preserve"> 2 (</w:t>
            </w:r>
            <w:r w:rsidRPr="0066114A">
              <w:rPr>
                <w:rFonts w:eastAsia="Times New Roman" w:cs="Arial"/>
                <w:color w:val="000000" w:themeColor="text1"/>
              </w:rPr>
              <w:t>POPC.02.02.00-00-0032/19-02</w:t>
            </w:r>
          </w:p>
        </w:tc>
        <w:tc>
          <w:tcPr>
            <w:tcW w:w="1907" w:type="dxa"/>
            <w:shd w:val="clear" w:color="auto" w:fill="auto"/>
          </w:tcPr>
          <w:p w14:paraId="3368A188" w14:textId="77777777" w:rsidR="00543AD5" w:rsidRPr="00BD6960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4B36DC6A" w14:textId="3843CECC" w:rsidR="00543AD5" w:rsidRDefault="00FE3BC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W realizacji.</w:t>
            </w:r>
          </w:p>
          <w:p w14:paraId="5009A3DD" w14:textId="2D609820" w:rsidR="00087B16" w:rsidRPr="00BD6960" w:rsidRDefault="007960BA" w:rsidP="00C43608">
            <w:pPr>
              <w:spacing w:after="0" w:line="240" w:lineRule="auto"/>
            </w:pPr>
            <w:r>
              <w:rPr>
                <w:rFonts w:eastAsia="Times New Roman" w:cs="Arial"/>
                <w:color w:val="000000" w:themeColor="text1"/>
              </w:rPr>
              <w:t>Zadania zaplanowane</w:t>
            </w:r>
            <w:r w:rsidR="00FE3BC5">
              <w:rPr>
                <w:rFonts w:eastAsia="Times New Roman" w:cs="Arial"/>
                <w:color w:val="000000" w:themeColor="text1"/>
              </w:rPr>
              <w:t xml:space="preserve"> dla Etapu III nie zostały zakończone</w:t>
            </w:r>
            <w:r w:rsidR="00FE3BC5" w:rsidRPr="00FE3BC5">
              <w:rPr>
                <w:rFonts w:eastAsia="Times New Roman" w:cs="Arial"/>
                <w:color w:val="000000" w:themeColor="text1"/>
              </w:rPr>
              <w:t xml:space="preserve"> w zakładanym terminie </w:t>
            </w:r>
            <w:r w:rsidR="00FE3BC5" w:rsidRPr="00485160">
              <w:rPr>
                <w:rFonts w:eastAsia="Times New Roman" w:cs="Arial"/>
                <w:color w:val="000000" w:themeColor="text1"/>
              </w:rPr>
              <w:t>z uwagi na fakt, że część zespołu CPA decyzją Ministra została oddelegowana do prac nad systemem SEPIS i harmonogram prac przewidziany w projekcie CPA nie mógł być realizowany zgodnie z założeniami</w:t>
            </w:r>
            <w:r w:rsidR="00485160">
              <w:rPr>
                <w:rFonts w:eastAsia="Times New Roman" w:cs="Arial"/>
                <w:color w:val="000000" w:themeColor="text1"/>
              </w:rPr>
              <w:t>. Mając na uwadze powyższe</w:t>
            </w:r>
            <w:r w:rsidR="009A3C36">
              <w:t xml:space="preserve"> </w:t>
            </w:r>
            <w:r w:rsidR="009A3C36" w:rsidRPr="009A3C36">
              <w:rPr>
                <w:rFonts w:eastAsia="Times New Roman" w:cs="Arial"/>
                <w:color w:val="000000" w:themeColor="text1"/>
              </w:rPr>
              <w:t>Ben</w:t>
            </w:r>
            <w:r w:rsidR="008D0BB6">
              <w:rPr>
                <w:rFonts w:eastAsia="Times New Roman" w:cs="Arial"/>
                <w:color w:val="000000" w:themeColor="text1"/>
              </w:rPr>
              <w:t>eficjent wydłużył okres realiza</w:t>
            </w:r>
            <w:r w:rsidR="009A3C36" w:rsidRPr="009A3C36">
              <w:rPr>
                <w:rFonts w:eastAsia="Times New Roman" w:cs="Arial"/>
                <w:color w:val="000000" w:themeColor="text1"/>
              </w:rPr>
              <w:t xml:space="preserve">cji projektu do 31.12.2021 r. </w:t>
            </w:r>
          </w:p>
        </w:tc>
      </w:tr>
      <w:tr w:rsidR="00543AD5" w14:paraId="325D1802" w14:textId="77777777">
        <w:tc>
          <w:tcPr>
            <w:tcW w:w="2119" w:type="dxa"/>
            <w:shd w:val="clear" w:color="auto" w:fill="auto"/>
          </w:tcPr>
          <w:p w14:paraId="61AD3714" w14:textId="5809BCFC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Zakończenie</w:t>
            </w:r>
          </w:p>
          <w:p w14:paraId="4D26D5AD" w14:textId="54849E14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IV</w:t>
            </w:r>
            <w:r w:rsidR="003C4B20">
              <w:rPr>
                <w:rFonts w:eastAsia="Times New Roman" w:cs="Arial"/>
                <w:color w:val="000000" w:themeColor="text1"/>
              </w:rPr>
              <w:t xml:space="preserve"> (Portfel</w:t>
            </w:r>
          </w:p>
          <w:p w14:paraId="65E03EC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API v21, zrealizowana</w:t>
            </w:r>
          </w:p>
          <w:p w14:paraId="66D4B4C6" w14:textId="7EB154AE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nicjatywa nr IV)</w:t>
            </w:r>
          </w:p>
        </w:tc>
        <w:tc>
          <w:tcPr>
            <w:tcW w:w="1518" w:type="dxa"/>
            <w:shd w:val="clear" w:color="auto" w:fill="auto"/>
          </w:tcPr>
          <w:p w14:paraId="09280C64" w14:textId="0CE583B5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color w:val="000000" w:themeColor="text1"/>
              </w:rPr>
              <w:t>KPI1;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KPI4;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KPI3 (200)</w:t>
            </w:r>
          </w:p>
        </w:tc>
        <w:tc>
          <w:tcPr>
            <w:tcW w:w="1306" w:type="dxa"/>
            <w:shd w:val="clear" w:color="auto" w:fill="auto"/>
          </w:tcPr>
          <w:p w14:paraId="303B1B8B" w14:textId="77777777" w:rsidR="00543AD5" w:rsidRDefault="00D04BC9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12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-2021</w:t>
            </w:r>
          </w:p>
          <w:p w14:paraId="6070007D" w14:textId="5D801DD9" w:rsidR="00F14941" w:rsidRDefault="00F14941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Termin osiągnięcia kamienia milowego został zmieniony na podstaw</w:t>
            </w:r>
            <w:r w:rsidRPr="00C456CC">
              <w:rPr>
                <w:rFonts w:eastAsia="Times New Roman" w:cs="Arial"/>
                <w:color w:val="000000" w:themeColor="text1"/>
              </w:rPr>
              <w:t>ie podpisa</w:t>
            </w:r>
            <w:r w:rsidR="00C456CC" w:rsidRPr="00C456CC">
              <w:rPr>
                <w:rFonts w:eastAsia="Times New Roman" w:cs="Arial"/>
                <w:color w:val="000000" w:themeColor="text1"/>
              </w:rPr>
              <w:t>nego 26 sierpnia 2021 r. Aneksu</w:t>
            </w:r>
            <w:r w:rsidRPr="0066114A">
              <w:rPr>
                <w:rFonts w:eastAsia="Times New Roman" w:cs="Arial"/>
                <w:color w:val="000000" w:themeColor="text1"/>
              </w:rPr>
              <w:t xml:space="preserve"> nr</w:t>
            </w:r>
            <w:r>
              <w:rPr>
                <w:rFonts w:eastAsia="Times New Roman" w:cs="Arial"/>
                <w:color w:val="000000" w:themeColor="text1"/>
              </w:rPr>
              <w:t xml:space="preserve"> 2 (</w:t>
            </w:r>
            <w:r w:rsidRPr="0066114A">
              <w:rPr>
                <w:rFonts w:eastAsia="Times New Roman" w:cs="Arial"/>
                <w:color w:val="000000" w:themeColor="text1"/>
              </w:rPr>
              <w:t>POPC.02.02.00-00-0032/19-02</w:t>
            </w:r>
          </w:p>
        </w:tc>
        <w:tc>
          <w:tcPr>
            <w:tcW w:w="1907" w:type="dxa"/>
            <w:shd w:val="clear" w:color="auto" w:fill="auto"/>
          </w:tcPr>
          <w:p w14:paraId="43CFA309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0FAE7221" w14:textId="622689D4" w:rsidR="00543AD5" w:rsidRDefault="007F4E16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W realizacji</w:t>
            </w:r>
            <w:r w:rsidR="001B625E">
              <w:rPr>
                <w:rFonts w:eastAsia="Times New Roman" w:cs="Arial"/>
                <w:color w:val="000000" w:themeColor="text1"/>
              </w:rPr>
              <w:t>.</w:t>
            </w:r>
          </w:p>
        </w:tc>
      </w:tr>
    </w:tbl>
    <w:p w14:paraId="5124380A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14:paraId="0F051A38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425B3B3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B980E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3AD5" w14:paraId="367433FF" w14:textId="77777777">
        <w:tc>
          <w:tcPr>
            <w:tcW w:w="2545" w:type="dxa"/>
            <w:shd w:val="clear" w:color="auto" w:fill="auto"/>
          </w:tcPr>
          <w:p w14:paraId="51CB949C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KPI1: Liczba urzędów, które wdrożyły katalog</w:t>
            </w:r>
          </w:p>
          <w:p w14:paraId="0A10FC57" w14:textId="09F0F422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rekomendac</w:t>
            </w:r>
            <w:r w:rsidR="00FB3E3E" w:rsidRPr="00B44E12">
              <w:rPr>
                <w:rFonts w:eastAsia="Times New Roman" w:cs="Arial"/>
                <w:color w:val="000000" w:themeColor="text1"/>
              </w:rPr>
              <w:t>ji dotyczących awansu cyfrowego</w:t>
            </w:r>
          </w:p>
        </w:tc>
        <w:tc>
          <w:tcPr>
            <w:tcW w:w="1276" w:type="dxa"/>
            <w:shd w:val="clear" w:color="auto" w:fill="auto"/>
          </w:tcPr>
          <w:p w14:paraId="48AD5D0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08E6EB3C" w14:textId="77777777" w:rsidR="00543AD5" w:rsidRDefault="003C4B20" w:rsidP="0009505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31-</w:t>
            </w:r>
            <w:r w:rsidR="0009505E">
              <w:rPr>
                <w:rFonts w:eastAsia="Times New Roman" w:cs="Arial"/>
                <w:color w:val="000000" w:themeColor="text1"/>
              </w:rPr>
              <w:t>12</w:t>
            </w:r>
            <w:r w:rsidRPr="00B44E12">
              <w:rPr>
                <w:rFonts w:eastAsia="Times New Roman" w:cs="Arial"/>
                <w:color w:val="000000" w:themeColor="text1"/>
              </w:rPr>
              <w:t>-2021</w:t>
            </w:r>
          </w:p>
          <w:p w14:paraId="59AC7647" w14:textId="21D0F5A6" w:rsidR="0068583B" w:rsidRPr="00B44E12" w:rsidRDefault="0068583B" w:rsidP="0009505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Termin osiągnięcia kamienia milowego został zmie</w:t>
            </w:r>
            <w:r>
              <w:rPr>
                <w:rFonts w:eastAsia="Times New Roman" w:cs="Arial"/>
                <w:color w:val="000000" w:themeColor="text1"/>
              </w:rPr>
              <w:lastRenderedPageBreak/>
              <w:t xml:space="preserve">niony na podstawie </w:t>
            </w:r>
            <w:r w:rsidRPr="00BF3F0E">
              <w:rPr>
                <w:rFonts w:eastAsia="Times New Roman" w:cs="Arial"/>
                <w:color w:val="000000" w:themeColor="text1"/>
              </w:rPr>
              <w:t>podpisa</w:t>
            </w:r>
            <w:r w:rsidR="00BF3F0E" w:rsidRPr="00BF3F0E">
              <w:rPr>
                <w:rFonts w:eastAsia="Times New Roman" w:cs="Arial"/>
                <w:color w:val="000000" w:themeColor="text1"/>
              </w:rPr>
              <w:t>nego 26 sierpnia 2021 r. Aneksu</w:t>
            </w:r>
            <w:r w:rsidRPr="0066114A">
              <w:rPr>
                <w:rFonts w:eastAsia="Times New Roman" w:cs="Arial"/>
                <w:color w:val="000000" w:themeColor="text1"/>
              </w:rPr>
              <w:t xml:space="preserve"> nr</w:t>
            </w:r>
            <w:r>
              <w:rPr>
                <w:rFonts w:eastAsia="Times New Roman" w:cs="Arial"/>
                <w:color w:val="000000" w:themeColor="text1"/>
              </w:rPr>
              <w:t xml:space="preserve"> 2 (</w:t>
            </w:r>
            <w:r w:rsidRPr="0066114A">
              <w:rPr>
                <w:rFonts w:eastAsia="Times New Roman" w:cs="Arial"/>
                <w:color w:val="000000" w:themeColor="text1"/>
              </w:rPr>
              <w:t>POPC.02.02.00-00-0032/19-02</w:t>
            </w:r>
          </w:p>
        </w:tc>
        <w:tc>
          <w:tcPr>
            <w:tcW w:w="2268" w:type="dxa"/>
            <w:shd w:val="clear" w:color="auto" w:fill="auto"/>
          </w:tcPr>
          <w:p w14:paraId="74B2CA9E" w14:textId="0A13F468" w:rsidR="0068583B" w:rsidRDefault="0068583B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0</w:t>
            </w:r>
          </w:p>
          <w:p w14:paraId="484266F2" w14:textId="2AE171A4" w:rsidR="00543AD5" w:rsidRPr="00B44E12" w:rsidRDefault="00EA6716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EA6716">
              <w:rPr>
                <w:rFonts w:eastAsia="Times New Roman" w:cs="Arial"/>
                <w:color w:val="000000" w:themeColor="text1"/>
              </w:rPr>
              <w:t>Wartość wskaźnika nie został</w:t>
            </w:r>
            <w:r>
              <w:rPr>
                <w:rFonts w:eastAsia="Times New Roman" w:cs="Arial"/>
                <w:color w:val="000000" w:themeColor="text1"/>
              </w:rPr>
              <w:t>a osiągnięta w zakładanym termi</w:t>
            </w:r>
            <w:r w:rsidRPr="00EA6716">
              <w:rPr>
                <w:rFonts w:eastAsia="Times New Roman" w:cs="Arial"/>
                <w:color w:val="000000" w:themeColor="text1"/>
              </w:rPr>
              <w:t xml:space="preserve">nie z uwagi na fakt, że część </w:t>
            </w:r>
            <w:r>
              <w:rPr>
                <w:rFonts w:eastAsia="Times New Roman" w:cs="Arial"/>
                <w:color w:val="000000" w:themeColor="text1"/>
              </w:rPr>
              <w:t xml:space="preserve">zespołu CPA decyzją </w:t>
            </w:r>
            <w:r>
              <w:rPr>
                <w:rFonts w:eastAsia="Times New Roman" w:cs="Arial"/>
                <w:color w:val="000000" w:themeColor="text1"/>
              </w:rPr>
              <w:lastRenderedPageBreak/>
              <w:t>Ministra zo</w:t>
            </w:r>
            <w:r w:rsidRPr="00EA6716">
              <w:rPr>
                <w:rFonts w:eastAsia="Times New Roman" w:cs="Arial"/>
                <w:color w:val="000000" w:themeColor="text1"/>
              </w:rPr>
              <w:t>stała</w:t>
            </w:r>
            <w:r>
              <w:rPr>
                <w:rFonts w:eastAsia="Times New Roman" w:cs="Arial"/>
                <w:color w:val="000000" w:themeColor="text1"/>
              </w:rPr>
              <w:t xml:space="preserve"> oddelegowana do prac nad systemem SEPIS i harmonogram prac przewi</w:t>
            </w:r>
            <w:r w:rsidRPr="00EA6716">
              <w:rPr>
                <w:rFonts w:eastAsia="Times New Roman" w:cs="Arial"/>
                <w:color w:val="000000" w:themeColor="text1"/>
              </w:rPr>
              <w:t xml:space="preserve">dziany w projekcie CPA nie mógł być </w:t>
            </w:r>
            <w:proofErr w:type="spellStart"/>
            <w:r w:rsidRPr="00EA6716">
              <w:rPr>
                <w:rFonts w:eastAsia="Times New Roman" w:cs="Arial"/>
                <w:color w:val="000000" w:themeColor="text1"/>
              </w:rPr>
              <w:t>rea-lizowany</w:t>
            </w:r>
            <w:proofErr w:type="spellEnd"/>
            <w:r w:rsidRPr="00EA6716">
              <w:rPr>
                <w:rFonts w:eastAsia="Times New Roman" w:cs="Arial"/>
                <w:color w:val="000000" w:themeColor="text1"/>
              </w:rPr>
              <w:t xml:space="preserve"> zgodnie z założeniami.  </w:t>
            </w:r>
            <w:proofErr w:type="spellStart"/>
            <w:r w:rsidRPr="00EA6716">
              <w:rPr>
                <w:rFonts w:eastAsia="Times New Roman" w:cs="Arial"/>
                <w:color w:val="000000" w:themeColor="text1"/>
              </w:rPr>
              <w:t>Benefi-cjent</w:t>
            </w:r>
            <w:proofErr w:type="spellEnd"/>
            <w:r w:rsidRPr="00EA6716">
              <w:rPr>
                <w:rFonts w:eastAsia="Times New Roman" w:cs="Arial"/>
                <w:color w:val="000000" w:themeColor="text1"/>
              </w:rPr>
              <w:t xml:space="preserve"> wydłużył okres realizacji projektu do 31.12.2021 r</w:t>
            </w:r>
          </w:p>
        </w:tc>
      </w:tr>
      <w:tr w:rsidR="00543AD5" w14:paraId="4AE7AF15" w14:textId="77777777">
        <w:tc>
          <w:tcPr>
            <w:tcW w:w="2545" w:type="dxa"/>
            <w:shd w:val="clear" w:color="auto" w:fill="auto"/>
          </w:tcPr>
          <w:p w14:paraId="22FB8E90" w14:textId="0C60E6EF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lastRenderedPageBreak/>
              <w:t>KPI2: Liczba uruchomionych systemów teleinformatycznych w podmiotach</w:t>
            </w:r>
            <w:r w:rsidR="00FB3E3E" w:rsidRPr="00B44E12">
              <w:rPr>
                <w:rFonts w:eastAsia="Times New Roman" w:cs="Arial"/>
                <w:color w:val="000000" w:themeColor="text1"/>
              </w:rPr>
              <w:t xml:space="preserve"> wykonujących zadania publiczne</w:t>
            </w:r>
          </w:p>
        </w:tc>
        <w:tc>
          <w:tcPr>
            <w:tcW w:w="1276" w:type="dxa"/>
            <w:shd w:val="clear" w:color="auto" w:fill="auto"/>
          </w:tcPr>
          <w:p w14:paraId="2798E462" w14:textId="740A9B3B" w:rsidR="00543AD5" w:rsidRPr="00B44E12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s</w:t>
            </w:r>
            <w:r w:rsidR="003C4B20" w:rsidRPr="00B44E12">
              <w:rPr>
                <w:rFonts w:eastAsia="Times New Roman" w:cs="Arial"/>
                <w:color w:val="000000" w:themeColor="text1"/>
              </w:rPr>
              <w:t>zt.</w:t>
            </w:r>
          </w:p>
        </w:tc>
        <w:tc>
          <w:tcPr>
            <w:tcW w:w="1842" w:type="dxa"/>
            <w:shd w:val="clear" w:color="auto" w:fill="auto"/>
          </w:tcPr>
          <w:p w14:paraId="2F7E54AD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1C8338DB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18-02-2020</w:t>
            </w:r>
          </w:p>
        </w:tc>
        <w:tc>
          <w:tcPr>
            <w:tcW w:w="2268" w:type="dxa"/>
            <w:shd w:val="clear" w:color="auto" w:fill="auto"/>
          </w:tcPr>
          <w:p w14:paraId="7128F26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</w:tr>
      <w:tr w:rsidR="00543AD5" w14:paraId="285B14F5" w14:textId="77777777">
        <w:tc>
          <w:tcPr>
            <w:tcW w:w="2545" w:type="dxa"/>
            <w:shd w:val="clear" w:color="auto" w:fill="auto"/>
          </w:tcPr>
          <w:p w14:paraId="3534A0DB" w14:textId="6CC8CC25" w:rsidR="00543AD5" w:rsidRPr="000C1E40" w:rsidRDefault="003C4B20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8F6241">
              <w:rPr>
                <w:rFonts w:eastAsia="Times New Roman" w:cs="Arial"/>
                <w:color w:val="000000" w:themeColor="text1"/>
              </w:rPr>
              <w:t>KPI3: Liczba udostępnionych usług na Platformie API CPA do t</w:t>
            </w:r>
            <w:r w:rsidR="00FB3E3E" w:rsidRPr="008F6241">
              <w:rPr>
                <w:rFonts w:eastAsia="Times New Roman" w:cs="Arial"/>
                <w:color w:val="000000" w:themeColor="text1"/>
              </w:rPr>
              <w:t>estowania przez społeczność CPA</w:t>
            </w:r>
          </w:p>
        </w:tc>
        <w:tc>
          <w:tcPr>
            <w:tcW w:w="1276" w:type="dxa"/>
            <w:shd w:val="clear" w:color="auto" w:fill="auto"/>
          </w:tcPr>
          <w:p w14:paraId="3F0BBE6F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095901A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100</w:t>
            </w:r>
          </w:p>
          <w:p w14:paraId="44C5FEE0" w14:textId="77777777" w:rsidR="00543AD5" w:rsidRPr="00B44E12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7ACFB18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200</w:t>
            </w:r>
          </w:p>
        </w:tc>
        <w:tc>
          <w:tcPr>
            <w:tcW w:w="1703" w:type="dxa"/>
            <w:shd w:val="clear" w:color="auto" w:fill="auto"/>
          </w:tcPr>
          <w:p w14:paraId="0CD9DC2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30-09-2019</w:t>
            </w:r>
          </w:p>
          <w:p w14:paraId="1CDEF3C6" w14:textId="77777777" w:rsidR="00543AD5" w:rsidRPr="00B44E12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03AAA3A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30-04-2021</w:t>
            </w:r>
          </w:p>
        </w:tc>
        <w:tc>
          <w:tcPr>
            <w:tcW w:w="2268" w:type="dxa"/>
            <w:shd w:val="clear" w:color="auto" w:fill="auto"/>
          </w:tcPr>
          <w:p w14:paraId="41748038" w14:textId="77777777" w:rsidR="00543AD5" w:rsidRDefault="00DC3B6F" w:rsidP="006B3BC7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2</w:t>
            </w:r>
            <w:r w:rsidR="002231A0" w:rsidRPr="00BD6960">
              <w:rPr>
                <w:rFonts w:eastAsia="Times New Roman" w:cs="Arial"/>
                <w:color w:val="000000" w:themeColor="text1"/>
              </w:rPr>
              <w:t>95</w:t>
            </w:r>
          </w:p>
          <w:p w14:paraId="55A14EDB" w14:textId="70D840E3" w:rsidR="008F6241" w:rsidRPr="00B44E12" w:rsidRDefault="004C15AC" w:rsidP="00524F7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Wartość wskaźnika</w:t>
            </w:r>
            <w:r w:rsidRPr="004C15AC">
              <w:rPr>
                <w:rFonts w:eastAsia="Times New Roman" w:cs="Arial"/>
                <w:color w:val="000000" w:themeColor="text1"/>
              </w:rPr>
              <w:t xml:space="preserve"> nie został</w:t>
            </w:r>
            <w:r>
              <w:rPr>
                <w:rFonts w:eastAsia="Times New Roman" w:cs="Arial"/>
                <w:color w:val="000000" w:themeColor="text1"/>
              </w:rPr>
              <w:t>a</w:t>
            </w:r>
            <w:r w:rsidRPr="004C15AC">
              <w:rPr>
                <w:rFonts w:eastAsia="Times New Roman" w:cs="Arial"/>
                <w:color w:val="000000" w:themeColor="text1"/>
              </w:rPr>
              <w:t xml:space="preserve"> osiągnięt</w:t>
            </w:r>
            <w:r>
              <w:rPr>
                <w:rFonts w:eastAsia="Times New Roman" w:cs="Arial"/>
                <w:color w:val="000000" w:themeColor="text1"/>
              </w:rPr>
              <w:t>a w zakłada</w:t>
            </w:r>
            <w:r w:rsidRPr="004C15AC">
              <w:rPr>
                <w:rFonts w:eastAsia="Times New Roman" w:cs="Arial"/>
                <w:color w:val="000000" w:themeColor="text1"/>
              </w:rPr>
              <w:t>nym termin</w:t>
            </w:r>
            <w:r>
              <w:rPr>
                <w:rFonts w:eastAsia="Times New Roman" w:cs="Arial"/>
                <w:color w:val="000000" w:themeColor="text1"/>
              </w:rPr>
              <w:t>ie z uwagi na fakt, że część ze</w:t>
            </w:r>
            <w:r w:rsidRPr="004C15AC">
              <w:rPr>
                <w:rFonts w:eastAsia="Times New Roman" w:cs="Arial"/>
                <w:color w:val="000000" w:themeColor="text1"/>
              </w:rPr>
              <w:t xml:space="preserve">społu CPA </w:t>
            </w:r>
            <w:r>
              <w:rPr>
                <w:rFonts w:eastAsia="Times New Roman" w:cs="Arial"/>
                <w:color w:val="000000" w:themeColor="text1"/>
              </w:rPr>
              <w:t>decyzją Ministra została oddele</w:t>
            </w:r>
            <w:r w:rsidRPr="004C15AC">
              <w:rPr>
                <w:rFonts w:eastAsia="Times New Roman" w:cs="Arial"/>
                <w:color w:val="000000" w:themeColor="text1"/>
              </w:rPr>
              <w:t>gowana do prac nad systemem SEPIS i harm</w:t>
            </w:r>
            <w:r>
              <w:rPr>
                <w:rFonts w:eastAsia="Times New Roman" w:cs="Arial"/>
                <w:color w:val="000000" w:themeColor="text1"/>
              </w:rPr>
              <w:t>onogram prac przewidziany w pro</w:t>
            </w:r>
            <w:r w:rsidRPr="004C15AC">
              <w:rPr>
                <w:rFonts w:eastAsia="Times New Roman" w:cs="Arial"/>
                <w:color w:val="000000" w:themeColor="text1"/>
              </w:rPr>
              <w:t>jekcie CP</w:t>
            </w:r>
            <w:r>
              <w:rPr>
                <w:rFonts w:eastAsia="Times New Roman" w:cs="Arial"/>
                <w:color w:val="000000" w:themeColor="text1"/>
              </w:rPr>
              <w:t>A nie mógł być realizowany zgod</w:t>
            </w:r>
            <w:r w:rsidRPr="004C15AC">
              <w:rPr>
                <w:rFonts w:eastAsia="Times New Roman" w:cs="Arial"/>
                <w:color w:val="000000" w:themeColor="text1"/>
              </w:rPr>
              <w:t>nie z założe</w:t>
            </w:r>
            <w:r>
              <w:rPr>
                <w:rFonts w:eastAsia="Times New Roman" w:cs="Arial"/>
                <w:color w:val="000000" w:themeColor="text1"/>
              </w:rPr>
              <w:t xml:space="preserve">niami.  Beneficjent </w:t>
            </w:r>
            <w:r w:rsidR="00524F74">
              <w:rPr>
                <w:rFonts w:eastAsia="Times New Roman" w:cs="Arial"/>
                <w:color w:val="000000" w:themeColor="text1"/>
              </w:rPr>
              <w:t>wydłużył okres</w:t>
            </w:r>
            <w:r w:rsidRPr="004C15AC">
              <w:rPr>
                <w:rFonts w:eastAsia="Times New Roman" w:cs="Arial"/>
                <w:color w:val="000000" w:themeColor="text1"/>
              </w:rPr>
              <w:t xml:space="preserve"> realizacji projektu do 31.12.2021 r.</w:t>
            </w:r>
          </w:p>
        </w:tc>
      </w:tr>
      <w:tr w:rsidR="00543AD5" w14:paraId="4ED111B4" w14:textId="77777777">
        <w:tc>
          <w:tcPr>
            <w:tcW w:w="2545" w:type="dxa"/>
            <w:shd w:val="clear" w:color="auto" w:fill="auto"/>
          </w:tcPr>
          <w:p w14:paraId="493FB5F9" w14:textId="77777777" w:rsidR="00543AD5" w:rsidRPr="008F6241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4C15AC">
              <w:rPr>
                <w:rFonts w:eastAsia="Times New Roman" w:cs="Arial"/>
                <w:color w:val="000000" w:themeColor="text1"/>
              </w:rPr>
              <w:t>KPI4: Średni czas dostarczenia</w:t>
            </w:r>
            <w:r w:rsidRPr="008F6241">
              <w:rPr>
                <w:rFonts w:eastAsia="Times New Roman" w:cs="Arial"/>
                <w:color w:val="000000" w:themeColor="text1"/>
              </w:rPr>
              <w:t xml:space="preserve"> testowej wersji usługi na Platformie API CPA od momentu przekazania informacji o nowo</w:t>
            </w:r>
          </w:p>
          <w:p w14:paraId="2C34E96D" w14:textId="77777777" w:rsidR="00543AD5" w:rsidRPr="000C1E40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 w:rsidRPr="008F6241">
              <w:rPr>
                <w:rFonts w:eastAsia="Times New Roman" w:cs="Arial"/>
                <w:color w:val="000000" w:themeColor="text1"/>
              </w:rPr>
              <w:t>wytwarzanej usłudze</w:t>
            </w:r>
          </w:p>
        </w:tc>
        <w:tc>
          <w:tcPr>
            <w:tcW w:w="1276" w:type="dxa"/>
            <w:shd w:val="clear" w:color="auto" w:fill="auto"/>
          </w:tcPr>
          <w:p w14:paraId="04EBB785" w14:textId="55F228BC" w:rsidR="00543AD5" w:rsidRPr="00B44E12" w:rsidRDefault="001B6B1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m</w:t>
            </w:r>
            <w:r w:rsidR="003C4B20" w:rsidRPr="00B44E12">
              <w:rPr>
                <w:rFonts w:eastAsia="Times New Roman" w:cs="Arial"/>
                <w:color w:val="000000" w:themeColor="text1"/>
              </w:rPr>
              <w:t>inuty</w:t>
            </w:r>
          </w:p>
        </w:tc>
        <w:tc>
          <w:tcPr>
            <w:tcW w:w="1842" w:type="dxa"/>
            <w:shd w:val="clear" w:color="auto" w:fill="auto"/>
          </w:tcPr>
          <w:p w14:paraId="61EC1047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</w:t>
            </w:r>
          </w:p>
        </w:tc>
        <w:tc>
          <w:tcPr>
            <w:tcW w:w="1703" w:type="dxa"/>
            <w:shd w:val="clear" w:color="auto" w:fill="auto"/>
          </w:tcPr>
          <w:p w14:paraId="38395F04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3A93E790" w14:textId="5727587A" w:rsidR="0068583B" w:rsidRDefault="0068583B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  <w:p w14:paraId="0BFEF386" w14:textId="279FF883" w:rsidR="00543AD5" w:rsidRPr="00B44E12" w:rsidRDefault="004C15A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4C15AC">
              <w:rPr>
                <w:rFonts w:eastAsia="Times New Roman" w:cs="Arial"/>
                <w:color w:val="000000" w:themeColor="text1"/>
              </w:rPr>
              <w:t>Wartość wskaźnika nie została osiągnięta w zakładanym termin</w:t>
            </w:r>
            <w:r>
              <w:rPr>
                <w:rFonts w:eastAsia="Times New Roman" w:cs="Arial"/>
                <w:color w:val="000000" w:themeColor="text1"/>
              </w:rPr>
              <w:t>ie z uwagi na fakt, że część ze</w:t>
            </w:r>
            <w:r w:rsidRPr="004C15AC">
              <w:rPr>
                <w:rFonts w:eastAsia="Times New Roman" w:cs="Arial"/>
                <w:color w:val="000000" w:themeColor="text1"/>
              </w:rPr>
              <w:t xml:space="preserve">społu CPA decyzją Ministra została oddelegowana do prac nad systemem SEPIS i harmonogram prac przewidziany w projekcie CPA nie mógł być realizowany zgodnie z założeniami.  </w:t>
            </w:r>
            <w:r w:rsidR="00524F74" w:rsidRPr="00524F74">
              <w:rPr>
                <w:rFonts w:eastAsia="Times New Roman" w:cs="Arial"/>
                <w:color w:val="000000" w:themeColor="text1"/>
              </w:rPr>
              <w:t xml:space="preserve">Beneficjent </w:t>
            </w:r>
            <w:r w:rsidR="00524F74" w:rsidRPr="00524F74">
              <w:rPr>
                <w:rFonts w:eastAsia="Times New Roman" w:cs="Arial"/>
                <w:color w:val="000000" w:themeColor="text1"/>
              </w:rPr>
              <w:lastRenderedPageBreak/>
              <w:t>w</w:t>
            </w:r>
            <w:r w:rsidR="00524F74">
              <w:rPr>
                <w:rFonts w:eastAsia="Times New Roman" w:cs="Arial"/>
                <w:color w:val="000000" w:themeColor="text1"/>
              </w:rPr>
              <w:t>ydłużył okres realizacji projek</w:t>
            </w:r>
            <w:r w:rsidR="00524F74" w:rsidRPr="00524F74">
              <w:rPr>
                <w:rFonts w:eastAsia="Times New Roman" w:cs="Arial"/>
                <w:color w:val="000000" w:themeColor="text1"/>
              </w:rPr>
              <w:t>tu do 31.12.2021 r.</w:t>
            </w:r>
          </w:p>
        </w:tc>
      </w:tr>
      <w:tr w:rsidR="00543AD5" w:rsidRPr="00BD6960" w14:paraId="53179F68" w14:textId="77777777">
        <w:tc>
          <w:tcPr>
            <w:tcW w:w="2545" w:type="dxa"/>
            <w:shd w:val="clear" w:color="auto" w:fill="auto"/>
          </w:tcPr>
          <w:p w14:paraId="45A0FECE" w14:textId="77777777" w:rsidR="00543AD5" w:rsidRPr="000C1E40" w:rsidRDefault="003C4B20">
            <w:pPr>
              <w:spacing w:after="0" w:line="240" w:lineRule="auto"/>
              <w:rPr>
                <w:highlight w:val="yellow"/>
              </w:rPr>
            </w:pPr>
            <w:r w:rsidRPr="000C1E40">
              <w:rPr>
                <w:rFonts w:eastAsia="Times New Roman" w:cs="Arial"/>
                <w:color w:val="000000" w:themeColor="text1"/>
              </w:rPr>
              <w:lastRenderedPageBreak/>
              <w:t>KPI5: Liczba pracowników IT podmiotów wykonujących zadania publiczne objętych wsparciem szkoleniowym</w:t>
            </w:r>
          </w:p>
        </w:tc>
        <w:tc>
          <w:tcPr>
            <w:tcW w:w="1276" w:type="dxa"/>
            <w:shd w:val="clear" w:color="auto" w:fill="auto"/>
          </w:tcPr>
          <w:p w14:paraId="4C5C0B90" w14:textId="77777777" w:rsidR="00543AD5" w:rsidRPr="00BD6960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02346E48" w14:textId="77777777" w:rsidR="00543AD5" w:rsidRPr="00BD6960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14:paraId="391B302D" w14:textId="263BB359" w:rsidR="00543AD5" w:rsidRPr="00BD6960" w:rsidRDefault="00C23A1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31-12-2021</w:t>
            </w:r>
          </w:p>
          <w:p w14:paraId="307760E7" w14:textId="38ABA480" w:rsidR="001B625E" w:rsidRPr="00BD6960" w:rsidRDefault="00C23A10" w:rsidP="00BD696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Termin osiągnięcia kamienia milowego został zmieniony na podstawie </w:t>
            </w:r>
            <w:r w:rsidRPr="001C726A">
              <w:rPr>
                <w:rFonts w:eastAsia="Times New Roman" w:cs="Arial"/>
                <w:color w:val="000000" w:themeColor="text1"/>
              </w:rPr>
              <w:t>podpisa</w:t>
            </w:r>
            <w:r w:rsidR="001C726A" w:rsidRPr="001C726A">
              <w:rPr>
                <w:rFonts w:eastAsia="Times New Roman" w:cs="Arial"/>
                <w:color w:val="000000" w:themeColor="text1"/>
              </w:rPr>
              <w:t>nego 26 sierpnia 2021 r. Aneksu</w:t>
            </w:r>
            <w:r w:rsidRPr="0066114A">
              <w:rPr>
                <w:rFonts w:eastAsia="Times New Roman" w:cs="Arial"/>
                <w:color w:val="000000" w:themeColor="text1"/>
              </w:rPr>
              <w:t xml:space="preserve"> nr</w:t>
            </w:r>
            <w:r>
              <w:rPr>
                <w:rFonts w:eastAsia="Times New Roman" w:cs="Arial"/>
                <w:color w:val="000000" w:themeColor="text1"/>
              </w:rPr>
              <w:t xml:space="preserve"> 2 (</w:t>
            </w:r>
            <w:r w:rsidRPr="0066114A">
              <w:rPr>
                <w:rFonts w:eastAsia="Times New Roman" w:cs="Arial"/>
                <w:color w:val="000000" w:themeColor="text1"/>
              </w:rPr>
              <w:t>POPC.02.02.00-00-0032/19-02</w:t>
            </w:r>
          </w:p>
        </w:tc>
        <w:tc>
          <w:tcPr>
            <w:tcW w:w="2268" w:type="dxa"/>
            <w:shd w:val="clear" w:color="auto" w:fill="auto"/>
          </w:tcPr>
          <w:p w14:paraId="51BA011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0</w:t>
            </w:r>
          </w:p>
          <w:p w14:paraId="6ECD3FDB" w14:textId="6707BD46" w:rsidR="000C1E40" w:rsidRPr="00BD6960" w:rsidRDefault="000C1E40" w:rsidP="001C726A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W</w:t>
            </w:r>
            <w:r w:rsidR="00164A79">
              <w:rPr>
                <w:rFonts w:eastAsia="Times New Roman" w:cs="Arial"/>
                <w:color w:val="000000" w:themeColor="text1"/>
              </w:rPr>
              <w:t>skaźnik nie został osiągnięty w zakładanym terminie w</w:t>
            </w:r>
            <w:r w:rsidRPr="00BD6960">
              <w:rPr>
                <w:rFonts w:eastAsia="Times New Roman" w:cs="Arial"/>
                <w:color w:val="000000" w:themeColor="text1"/>
              </w:rPr>
              <w:t xml:space="preserve"> związku z sytuacją w kraju wywołaną COVID-19 oraz koniecznością zmiany priorytetów w realizowanym projekcie</w:t>
            </w:r>
            <w:r w:rsidR="001C726A">
              <w:rPr>
                <w:rFonts w:eastAsia="Times New Roman" w:cs="Arial"/>
                <w:color w:val="000000" w:themeColor="text1"/>
              </w:rPr>
              <w:t xml:space="preserve">. </w:t>
            </w:r>
            <w:r w:rsidR="007960BA">
              <w:rPr>
                <w:rFonts w:eastAsia="Times New Roman" w:cs="Arial"/>
                <w:color w:val="000000" w:themeColor="text1"/>
              </w:rPr>
              <w:t xml:space="preserve">W związku z powyższym </w:t>
            </w:r>
            <w:r w:rsidR="00B658F3">
              <w:rPr>
                <w:rFonts w:eastAsia="Times New Roman" w:cs="Arial"/>
                <w:color w:val="000000" w:themeColor="text1"/>
              </w:rPr>
              <w:t xml:space="preserve">część </w:t>
            </w:r>
            <w:r w:rsidR="00164A79">
              <w:rPr>
                <w:rFonts w:eastAsia="Times New Roman" w:cs="Arial"/>
                <w:color w:val="000000" w:themeColor="text1"/>
              </w:rPr>
              <w:t>ze</w:t>
            </w:r>
            <w:r w:rsidR="00164A79" w:rsidRPr="004C15AC">
              <w:rPr>
                <w:rFonts w:eastAsia="Times New Roman" w:cs="Arial"/>
                <w:color w:val="000000" w:themeColor="text1"/>
              </w:rPr>
              <w:t xml:space="preserve">społu CPA </w:t>
            </w:r>
            <w:r w:rsidR="00164A79">
              <w:rPr>
                <w:rFonts w:eastAsia="Times New Roman" w:cs="Arial"/>
                <w:color w:val="000000" w:themeColor="text1"/>
              </w:rPr>
              <w:t>decyzją Ministra została oddele</w:t>
            </w:r>
            <w:r w:rsidR="00164A79" w:rsidRPr="004C15AC">
              <w:rPr>
                <w:rFonts w:eastAsia="Times New Roman" w:cs="Arial"/>
                <w:color w:val="000000" w:themeColor="text1"/>
              </w:rPr>
              <w:t>gowana do prac nad systemem SEPIS i harm</w:t>
            </w:r>
            <w:r w:rsidR="00164A79">
              <w:rPr>
                <w:rFonts w:eastAsia="Times New Roman" w:cs="Arial"/>
                <w:color w:val="000000" w:themeColor="text1"/>
              </w:rPr>
              <w:t>onogram prac przewidziany w pro</w:t>
            </w:r>
            <w:r w:rsidR="00164A79" w:rsidRPr="004C15AC">
              <w:rPr>
                <w:rFonts w:eastAsia="Times New Roman" w:cs="Arial"/>
                <w:color w:val="000000" w:themeColor="text1"/>
              </w:rPr>
              <w:t>jekcie CP</w:t>
            </w:r>
            <w:r w:rsidR="00164A79">
              <w:rPr>
                <w:rFonts w:eastAsia="Times New Roman" w:cs="Arial"/>
                <w:color w:val="000000" w:themeColor="text1"/>
              </w:rPr>
              <w:t>A nie mógł być realizowany zgod</w:t>
            </w:r>
            <w:r w:rsidR="00164A79" w:rsidRPr="004C15AC">
              <w:rPr>
                <w:rFonts w:eastAsia="Times New Roman" w:cs="Arial"/>
                <w:color w:val="000000" w:themeColor="text1"/>
              </w:rPr>
              <w:t>nie z założe</w:t>
            </w:r>
            <w:r w:rsidR="00164A79">
              <w:rPr>
                <w:rFonts w:eastAsia="Times New Roman" w:cs="Arial"/>
                <w:color w:val="000000" w:themeColor="text1"/>
              </w:rPr>
              <w:t xml:space="preserve">niami. </w:t>
            </w:r>
            <w:r w:rsidR="001C726A">
              <w:rPr>
                <w:rFonts w:eastAsia="Times New Roman" w:cs="Arial"/>
                <w:color w:val="000000" w:themeColor="text1"/>
              </w:rPr>
              <w:t>Mając na uwadze powyższe</w:t>
            </w:r>
            <w:r w:rsidR="00164A79">
              <w:rPr>
                <w:rFonts w:eastAsia="Times New Roman" w:cs="Arial"/>
                <w:color w:val="000000" w:themeColor="text1"/>
              </w:rPr>
              <w:t xml:space="preserve"> </w:t>
            </w:r>
            <w:r w:rsidR="00524F74" w:rsidRPr="00524F74">
              <w:rPr>
                <w:rFonts w:eastAsia="Times New Roman" w:cs="Arial"/>
                <w:color w:val="000000" w:themeColor="text1"/>
              </w:rPr>
              <w:t xml:space="preserve">Beneficjent wydłużył okres realizacji </w:t>
            </w:r>
            <w:proofErr w:type="spellStart"/>
            <w:r w:rsidR="00524F74" w:rsidRPr="00524F74">
              <w:rPr>
                <w:rFonts w:eastAsia="Times New Roman" w:cs="Arial"/>
                <w:color w:val="000000" w:themeColor="text1"/>
              </w:rPr>
              <w:t>projek</w:t>
            </w:r>
            <w:proofErr w:type="spellEnd"/>
            <w:r w:rsidR="00524F74" w:rsidRPr="00524F74">
              <w:rPr>
                <w:rFonts w:eastAsia="Times New Roman" w:cs="Arial"/>
                <w:color w:val="000000" w:themeColor="text1"/>
              </w:rPr>
              <w:t>-tu do 31.12.2021 r.</w:t>
            </w:r>
            <w:r w:rsidR="001C726A">
              <w:rPr>
                <w:rFonts w:eastAsia="Times New Roman" w:cs="Arial"/>
                <w:color w:val="000000" w:themeColor="text1"/>
              </w:rPr>
              <w:t xml:space="preserve">, co jednocześnie wiązało </w:t>
            </w:r>
            <w:r w:rsidR="001C726A" w:rsidRPr="001C726A">
              <w:rPr>
                <w:rFonts w:eastAsia="Times New Roman" w:cs="Arial"/>
                <w:color w:val="000000" w:themeColor="text1"/>
              </w:rPr>
              <w:t>się ze</w:t>
            </w:r>
            <w:r w:rsidR="001C726A" w:rsidRPr="001C726A">
              <w:rPr>
                <w:rFonts w:eastAsia="Times New Roman" w:cs="Arial"/>
                <w:color w:val="000000" w:themeColor="text1"/>
              </w:rPr>
              <w:t xml:space="preserve"> zmianą terminów osiągnięcia</w:t>
            </w:r>
            <w:r w:rsidR="001C726A">
              <w:rPr>
                <w:rFonts w:eastAsia="Times New Roman" w:cs="Arial"/>
                <w:color w:val="000000" w:themeColor="text1"/>
              </w:rPr>
              <w:t xml:space="preserve"> założonych w projekcie</w:t>
            </w:r>
            <w:r w:rsidR="001C726A" w:rsidRPr="001C726A">
              <w:rPr>
                <w:rFonts w:eastAsia="Times New Roman" w:cs="Arial"/>
                <w:color w:val="000000" w:themeColor="text1"/>
              </w:rPr>
              <w:t xml:space="preserve"> kamieni milowych.</w:t>
            </w:r>
          </w:p>
        </w:tc>
      </w:tr>
    </w:tbl>
    <w:p w14:paraId="4C4B3385" w14:textId="77777777" w:rsidR="00543AD5" w:rsidRPr="00BD6960" w:rsidRDefault="003C4B20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BD6960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BD6960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543AD5" w14:paraId="524A22F9" w14:textId="77777777">
        <w:trPr>
          <w:tblHeader/>
        </w:trPr>
        <w:tc>
          <w:tcPr>
            <w:tcW w:w="2892" w:type="dxa"/>
            <w:shd w:val="clear" w:color="auto" w:fill="D0CECE" w:themeFill="background2" w:themeFillShade="E6"/>
            <w:vAlign w:val="center"/>
          </w:tcPr>
          <w:p w14:paraId="7C044DE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4C2CA56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7D2333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63D8968" w14:textId="77777777">
        <w:tc>
          <w:tcPr>
            <w:tcW w:w="2892" w:type="dxa"/>
            <w:shd w:val="clear" w:color="auto" w:fill="auto"/>
          </w:tcPr>
          <w:p w14:paraId="012C7B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08" w:type="dxa"/>
            <w:shd w:val="clear" w:color="auto" w:fill="auto"/>
          </w:tcPr>
          <w:p w14:paraId="229757E6" w14:textId="77777777" w:rsidR="00543AD5" w:rsidRDefault="003C4B20">
            <w:pPr>
              <w:spacing w:after="0" w:line="240" w:lineRule="auto"/>
              <w:ind w:left="44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96" w:type="dxa"/>
            <w:shd w:val="clear" w:color="auto" w:fill="auto"/>
          </w:tcPr>
          <w:p w14:paraId="2313CAE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495BD5AC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4037" w:type="dxa"/>
            <w:shd w:val="clear" w:color="auto" w:fill="auto"/>
          </w:tcPr>
          <w:p w14:paraId="6321103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0677351F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21CD1587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53BF9F1A" w14:textId="77777777" w:rsidR="00543AD5" w:rsidRDefault="00543AD5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14:paraId="25DC4591" w14:textId="77777777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AA2768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5AB1B7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8F96DB7" w14:textId="77777777">
        <w:tc>
          <w:tcPr>
            <w:tcW w:w="2824" w:type="dxa"/>
            <w:shd w:val="clear" w:color="auto" w:fill="auto"/>
          </w:tcPr>
          <w:p w14:paraId="0E658C91" w14:textId="77777777" w:rsidR="00543AD5" w:rsidRPr="004C15AC" w:rsidRDefault="003C4B20">
            <w:pPr>
              <w:spacing w:after="0" w:line="240" w:lineRule="auto"/>
            </w:pPr>
            <w:r w:rsidRPr="004C15AC">
              <w:t>Lista publicznych adresów</w:t>
            </w:r>
          </w:p>
          <w:p w14:paraId="68CE55B0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4C15AC">
              <w:t>usług API</w:t>
            </w:r>
          </w:p>
        </w:tc>
        <w:tc>
          <w:tcPr>
            <w:tcW w:w="1261" w:type="dxa"/>
            <w:shd w:val="clear" w:color="auto" w:fill="auto"/>
          </w:tcPr>
          <w:p w14:paraId="4EBA37E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395" w:type="dxa"/>
            <w:shd w:val="clear" w:color="auto" w:fill="auto"/>
          </w:tcPr>
          <w:p w14:paraId="590043A8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4153" w:type="dxa"/>
            <w:shd w:val="clear" w:color="auto" w:fill="auto"/>
          </w:tcPr>
          <w:p w14:paraId="3DD17EC7" w14:textId="2840A9BB" w:rsidR="00543AD5" w:rsidRDefault="008F624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Produkt nie został </w:t>
            </w:r>
            <w:r w:rsidR="00610D26">
              <w:rPr>
                <w:rFonts w:eastAsia="Times New Roman" w:cs="Arial"/>
                <w:color w:val="000000" w:themeColor="text1"/>
              </w:rPr>
              <w:t>wdrożony</w:t>
            </w:r>
            <w:r>
              <w:rPr>
                <w:rFonts w:eastAsia="Times New Roman" w:cs="Arial"/>
                <w:color w:val="000000" w:themeColor="text1"/>
              </w:rPr>
              <w:t xml:space="preserve"> w zakładanym terminie z</w:t>
            </w:r>
            <w:r w:rsidRPr="008F6241">
              <w:rPr>
                <w:rFonts w:eastAsia="Times New Roman" w:cs="Arial"/>
                <w:color w:val="000000" w:themeColor="text1"/>
              </w:rPr>
              <w:t xml:space="preserve"> uwagi na fakt, że część zespołu </w:t>
            </w:r>
            <w:r>
              <w:rPr>
                <w:rFonts w:eastAsia="Times New Roman" w:cs="Arial"/>
                <w:color w:val="000000" w:themeColor="text1"/>
              </w:rPr>
              <w:lastRenderedPageBreak/>
              <w:t xml:space="preserve">CPA </w:t>
            </w:r>
            <w:r w:rsidRPr="008F6241">
              <w:rPr>
                <w:rFonts w:eastAsia="Times New Roman" w:cs="Arial"/>
                <w:color w:val="000000" w:themeColor="text1"/>
              </w:rPr>
              <w:t xml:space="preserve">decyzją Ministra została oddelegowana do prac nad systemem SEPIS i harmonogram prac przewidziany w projekcie CPA nie mógł być realizowany zgodnie z założeniami. 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="00A11883" w:rsidRPr="00A11883">
              <w:rPr>
                <w:rFonts w:eastAsia="Times New Roman" w:cs="Arial"/>
                <w:color w:val="000000" w:themeColor="text1"/>
              </w:rPr>
              <w:t>Beneficjent wydłużył okre</w:t>
            </w:r>
            <w:r w:rsidR="00D04BC9">
              <w:rPr>
                <w:rFonts w:eastAsia="Times New Roman" w:cs="Arial"/>
                <w:color w:val="000000" w:themeColor="text1"/>
              </w:rPr>
              <w:t>s realizacji projek</w:t>
            </w:r>
            <w:r w:rsidR="00A11883" w:rsidRPr="00A11883">
              <w:rPr>
                <w:rFonts w:eastAsia="Times New Roman" w:cs="Arial"/>
                <w:color w:val="000000" w:themeColor="text1"/>
              </w:rPr>
              <w:t>tu do 31.12.2021 r.</w:t>
            </w:r>
          </w:p>
        </w:tc>
      </w:tr>
    </w:tbl>
    <w:p w14:paraId="03F2BBA8" w14:textId="77777777" w:rsidR="00543AD5" w:rsidRDefault="003C4B20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543AD5" w14:paraId="67050D9A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215DC0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BA68A4C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14:paraId="6F1487A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14:paraId="01A62B0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ECC8487" w14:textId="77777777" w:rsidR="00543AD5" w:rsidRDefault="00543A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3AD5" w14:paraId="227254CC" w14:textId="77777777">
        <w:tc>
          <w:tcPr>
            <w:tcW w:w="2547" w:type="dxa"/>
            <w:shd w:val="clear" w:color="auto" w:fill="auto"/>
          </w:tcPr>
          <w:p w14:paraId="47E7BB17" w14:textId="70392212" w:rsidR="00543AD5" w:rsidRPr="006B3BC7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3BC7">
              <w:t>Produkt P1: Platforma API CPA – platforma informatyczna typu API Management do tworzeni</w:t>
            </w:r>
            <w:r w:rsidR="00FB3E3E" w:rsidRPr="006B3BC7">
              <w:t>a i testowania nowych usług API</w:t>
            </w:r>
          </w:p>
        </w:tc>
        <w:tc>
          <w:tcPr>
            <w:tcW w:w="1700" w:type="dxa"/>
            <w:shd w:val="clear" w:color="auto" w:fill="auto"/>
          </w:tcPr>
          <w:p w14:paraId="20013BA5" w14:textId="77777777" w:rsidR="00543AD5" w:rsidRPr="006B3BC7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31-05-2020</w:t>
            </w:r>
          </w:p>
        </w:tc>
        <w:tc>
          <w:tcPr>
            <w:tcW w:w="1844" w:type="dxa"/>
            <w:shd w:val="clear" w:color="auto" w:fill="auto"/>
          </w:tcPr>
          <w:p w14:paraId="6A59FE0F" w14:textId="14F8955C" w:rsidR="00543AD5" w:rsidRDefault="00543AD5" w:rsidP="00CF42A3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2" w:type="dxa"/>
            <w:shd w:val="clear" w:color="auto" w:fill="auto"/>
          </w:tcPr>
          <w:p w14:paraId="7287B428" w14:textId="6656DA8D" w:rsidR="003C49C7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. </w:t>
            </w:r>
            <w:r w:rsidR="005F4668" w:rsidRPr="00D768B8">
              <w:rPr>
                <w:rFonts w:eastAsia="Times New Roman" w:cs="Arial"/>
                <w:b/>
                <w:color w:val="000000" w:themeColor="text1"/>
              </w:rPr>
              <w:t>Krajowy System Identyfikacji i Zaufania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BB5DDB7" w14:textId="2CE9F94E" w:rsidR="00543AD5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60D38116" w14:textId="2F469B9D" w:rsidR="005F4668" w:rsidRPr="00D768B8" w:rsidRDefault="005F466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platformą API CPA w celu dokonywania procesu uwierzytelniania dedykowanego do wykonywania poprzez węzeł krajowy.</w:t>
            </w:r>
          </w:p>
          <w:p w14:paraId="1F8D1F30" w14:textId="0E1C099F" w:rsidR="00206B44" w:rsidRPr="00D768B8" w:rsidRDefault="00920A4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- Zakończono</w:t>
            </w:r>
          </w:p>
          <w:p w14:paraId="0B849B8A" w14:textId="77777777" w:rsidR="00206B44" w:rsidRPr="00D768B8" w:rsidRDefault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270A80A" w14:textId="02902651" w:rsidR="004A21FD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2.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5C6290" w:rsidRPr="00D768B8">
              <w:rPr>
                <w:rFonts w:eastAsia="Times New Roman" w:cs="Arial"/>
                <w:b/>
                <w:color w:val="000000" w:themeColor="text1"/>
              </w:rPr>
              <w:t>Systemy dostawców usług płatniczych</w:t>
            </w:r>
          </w:p>
          <w:p w14:paraId="7D77DEB9" w14:textId="2CA47245" w:rsidR="005F4668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257B677" w14:textId="6E1D2823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usługami płatności dostępnymi w ramach dyrektywy PSD2 lub poprzez usługi typu „</w:t>
            </w:r>
            <w:proofErr w:type="spellStart"/>
            <w:r w:rsidRPr="00D768B8">
              <w:rPr>
                <w:rFonts w:eastAsia="Times New Roman" w:cs="Arial"/>
                <w:color w:val="000000" w:themeColor="text1"/>
              </w:rPr>
              <w:t>paybynet</w:t>
            </w:r>
            <w:proofErr w:type="spellEnd"/>
            <w:r w:rsidRPr="00D768B8">
              <w:rPr>
                <w:rFonts w:eastAsia="Times New Roman" w:cs="Arial"/>
                <w:color w:val="000000" w:themeColor="text1"/>
              </w:rPr>
              <w:t>”;</w:t>
            </w:r>
          </w:p>
          <w:p w14:paraId="57A6ED8C" w14:textId="77777777" w:rsidR="00D768B8" w:rsidRDefault="003C49C7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1D3D4C7D" w14:textId="6920485A" w:rsidR="00206B44" w:rsidRPr="00D768B8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Powodem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jest zmiana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 xml:space="preserve"> zakresu 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nicjatyw 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>CPA.</w:t>
            </w:r>
          </w:p>
          <w:p w14:paraId="0E59AA62" w14:textId="01E3FB02" w:rsidR="00F316E5" w:rsidRPr="00D768B8" w:rsidRDefault="00F316E5" w:rsidP="00206B44">
            <w:pPr>
              <w:pStyle w:val="Akapitzlist"/>
              <w:spacing w:after="0" w:line="240" w:lineRule="auto"/>
              <w:ind w:left="32" w:hanging="688"/>
              <w:rPr>
                <w:rFonts w:eastAsia="Times New Roman" w:cs="Arial"/>
                <w:color w:val="000000" w:themeColor="text1"/>
              </w:rPr>
            </w:pPr>
          </w:p>
          <w:p w14:paraId="45D37B05" w14:textId="77777777" w:rsidR="0003661A" w:rsidRPr="00D768B8" w:rsidRDefault="005C6290" w:rsidP="004A21F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4" w:hanging="174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Inne systemy sektorowe</w:t>
            </w:r>
          </w:p>
          <w:p w14:paraId="2383A809" w14:textId="2E5FADDD" w:rsidR="003C49C7" w:rsidRPr="00D768B8" w:rsidRDefault="003C49C7" w:rsidP="0003661A">
            <w:pPr>
              <w:spacing w:after="0" w:line="240" w:lineRule="auto"/>
              <w:ind w:left="-44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3.1 S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ystem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E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widencji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P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aństwowej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I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nspekcji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S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>anitarnej</w:t>
            </w:r>
            <w:r w:rsidR="00D768B8">
              <w:rPr>
                <w:rFonts w:eastAsia="Times New Roman" w:cs="Arial"/>
                <w:b/>
                <w:color w:val="000000" w:themeColor="text1"/>
              </w:rPr>
              <w:t xml:space="preserve"> (SEPIS)</w:t>
            </w:r>
          </w:p>
          <w:p w14:paraId="38A1C1EB" w14:textId="77777777" w:rsid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-</w:t>
            </w:r>
            <w:r w:rsidR="005C629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01F2A9DD" w14:textId="3099381A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obszarów testowych dla usług zaplecza w celu realizacji prototypów usług API w oparciu o Platformę API CPA;</w:t>
            </w:r>
          </w:p>
          <w:p w14:paraId="7331DFFD" w14:textId="58326CE9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-</w:t>
            </w:r>
            <w:r w:rsidRPr="00B44E12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B44E12">
              <w:rPr>
                <w:rFonts w:eastAsia="Times New Roman" w:cs="Arial"/>
                <w:b/>
                <w:color w:val="000000" w:themeColor="text1"/>
              </w:rPr>
              <w:t>Zakończono</w:t>
            </w:r>
          </w:p>
          <w:p w14:paraId="430F5052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152187F5" w14:textId="77777777" w:rsidR="0003661A" w:rsidRPr="00D768B8" w:rsidRDefault="005C6290" w:rsidP="0003661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6" w:hanging="316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Zintegrowana Platforma Analityczna</w:t>
            </w:r>
          </w:p>
          <w:p w14:paraId="4720AD6C" w14:textId="77777777" w:rsidR="00D768B8" w:rsidRDefault="0003661A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C76DBF6" w14:textId="4BA9DB08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Utworzenie mechanizmu zasilania danymi na potrzeby  realizacji usług API poprzez platformę API CPA;</w:t>
            </w:r>
          </w:p>
          <w:p w14:paraId="4E4490BB" w14:textId="0CC10AEA" w:rsidR="00D768B8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6CAC814B" w14:textId="2290EFF4" w:rsidR="00126466" w:rsidRPr="00D768B8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dostępniane </w:t>
            </w:r>
            <w:r w:rsidRPr="00D768B8">
              <w:rPr>
                <w:rFonts w:eastAsia="Times New Roman" w:cs="Arial"/>
                <w:color w:val="000000" w:themeColor="text1"/>
              </w:rPr>
              <w:t>API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opierają się o dane testowe lokalne dla obecnych </w:t>
            </w:r>
            <w:r w:rsidR="00126466" w:rsidRPr="00D768B8">
              <w:rPr>
                <w:rFonts w:eastAsia="Times New Roman" w:cs="Arial"/>
                <w:color w:val="000000" w:themeColor="text1"/>
              </w:rPr>
              <w:lastRenderedPageBreak/>
              <w:t>usług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, więc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nie było potrzeby korzystania z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e Zintegrowanej Platformy Anal</w:t>
            </w:r>
            <w:r w:rsidR="0000112C">
              <w:rPr>
                <w:rFonts w:eastAsia="Times New Roman" w:cs="Arial"/>
                <w:color w:val="000000" w:themeColor="text1"/>
              </w:rPr>
              <w:t>i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tycznej.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0CA9EE9D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065E28A7" w14:textId="77777777" w:rsidR="00045BEE" w:rsidRPr="00D768B8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5.</w:t>
            </w:r>
            <w:r w:rsidR="00086CA6" w:rsidRPr="00D768B8">
              <w:rPr>
                <w:rFonts w:eastAsia="Times New Roman" w:cs="Arial"/>
                <w:b/>
                <w:color w:val="000000" w:themeColor="text1"/>
              </w:rPr>
              <w:t>CEPiK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AB771F1" w14:textId="1F3EBDD1" w:rsidR="00B04B50" w:rsidRPr="00D768B8" w:rsidRDefault="00045BEE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6A9F9D20" w14:textId="64CC7086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usług zaplecza zawierających dane kierowców i pojazdów w celu ich serwowania w ujednolicony sposób poprzez platformę API CPA;</w:t>
            </w:r>
          </w:p>
          <w:p w14:paraId="0F4C0FED" w14:textId="1205A364" w:rsidR="00206B44" w:rsidRPr="00D768B8" w:rsidRDefault="00045BEE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 xml:space="preserve">- </w:t>
            </w:r>
            <w:r w:rsidR="00206B44" w:rsidRPr="00D768B8">
              <w:rPr>
                <w:rFonts w:eastAsia="Times New Roman" w:cs="Arial"/>
                <w:b/>
                <w:color w:val="000000" w:themeColor="text1"/>
              </w:rPr>
              <w:t>Modelowanie biznesowe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 w zakresie I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nicjatywy II</w:t>
            </w:r>
            <w:r w:rsidR="00D768B8">
              <w:rPr>
                <w:rFonts w:eastAsia="Times New Roman" w:cs="Arial"/>
                <w:b/>
                <w:color w:val="000000" w:themeColor="text1"/>
              </w:rPr>
              <w:t>.</w:t>
            </w:r>
          </w:p>
          <w:p w14:paraId="24CE5660" w14:textId="6021F166" w:rsidR="00206B44" w:rsidRPr="00D768B8" w:rsidRDefault="00206B44" w:rsidP="00045BE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507C2742" w14:textId="77777777" w:rsidR="00045BEE" w:rsidRPr="00F74AD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6.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e-Doręczenia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3C4BAE5" w14:textId="6002E4C2" w:rsidR="00086CA6" w:rsidRP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43B05F09" w14:textId="2BA73C7F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uzgodnionych usług zaplecza w celu ich serwowania poprzez prototypy usług API na platformie API CPA;</w:t>
            </w:r>
          </w:p>
          <w:p w14:paraId="49C88D3B" w14:textId="77777777" w:rsidR="00F74AD6" w:rsidRDefault="00045BEE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41D5F79E" w14:textId="2EF37640" w:rsidR="00206B44" w:rsidRPr="00D768B8" w:rsidRDefault="00F74AD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Powodem jest zmiana</w:t>
            </w:r>
            <w:r w:rsidR="00045BEE" w:rsidRPr="00D768B8">
              <w:rPr>
                <w:rFonts w:eastAsia="Times New Roman" w:cs="Arial"/>
                <w:color w:val="000000" w:themeColor="text1"/>
              </w:rPr>
              <w:t xml:space="preserve"> zakresu I</w:t>
            </w:r>
            <w:r>
              <w:rPr>
                <w:rFonts w:eastAsia="Times New Roman" w:cs="Arial"/>
                <w:color w:val="000000" w:themeColor="text1"/>
              </w:rPr>
              <w:t>nicjatyw CPA.</w:t>
            </w:r>
          </w:p>
          <w:p w14:paraId="138C9EC1" w14:textId="77777777" w:rsidR="00045BEE" w:rsidRPr="00D768B8" w:rsidRDefault="00206B44" w:rsidP="00B04B5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7.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Katalogi Administracji Publicznej</w:t>
            </w:r>
            <w:r w:rsidR="00B04B50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7E978BF8" w14:textId="1C33C8E5" w:rsid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3DF87A8" w14:textId="16E196A4" w:rsidR="00086CA6" w:rsidRPr="00F74AD6" w:rsidRDefault="00086CA6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Pobranie informacji o adresie end point-a oraz opisie prototypu usługi API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4F644C13" w14:textId="5AAC4418" w:rsidR="00206B44" w:rsidRP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206B44" w:rsidRPr="00F74AD6">
              <w:rPr>
                <w:rFonts w:eastAsia="Times New Roman" w:cs="Arial"/>
                <w:b/>
                <w:color w:val="000000" w:themeColor="text1"/>
              </w:rPr>
              <w:t>Modelowanie biznesowe</w:t>
            </w:r>
          </w:p>
          <w:p w14:paraId="1BE457C5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168B63E" w14:textId="77777777" w:rsidR="004A21FD" w:rsidRPr="00F74AD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8.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Portal Współpracy CPA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0B3D2294" w14:textId="5765E336" w:rsidR="00206B44" w:rsidRPr="00F74AD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5C5AE4E" w14:textId="436443EF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Utworzenie przestrzeni dla obsługi informacyjnej społeczności CPA;</w:t>
            </w:r>
          </w:p>
          <w:p w14:paraId="788EFC31" w14:textId="697B4596" w:rsidR="00206B44" w:rsidRPr="00F74AD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Z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akończono</w:t>
            </w:r>
          </w:p>
          <w:p w14:paraId="49EC557D" w14:textId="77777777" w:rsidR="004A21FD" w:rsidRPr="00D768B8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92970F2" w14:textId="77777777" w:rsidR="004A21FD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9.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 xml:space="preserve">Challenge </w:t>
            </w:r>
            <w:proofErr w:type="spellStart"/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Rocket</w:t>
            </w:r>
            <w:proofErr w:type="spellEnd"/>
          </w:p>
          <w:p w14:paraId="2C2D9832" w14:textId="79C9B331" w:rsidR="00B04B50" w:rsidRPr="00F74AD6" w:rsidRDefault="004A21FD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5CFE6513" w14:textId="2DA39F52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Wykorzystanie funkcjonalności org</w:t>
            </w:r>
            <w:r w:rsidR="00533A10" w:rsidRPr="00D768B8">
              <w:rPr>
                <w:rFonts w:eastAsia="Times New Roman" w:cs="Arial"/>
                <w:color w:val="000000" w:themeColor="text1"/>
              </w:rPr>
              <w:t>anizowania wyzwań programistycz</w:t>
            </w:r>
            <w:r w:rsidRPr="00D768B8">
              <w:rPr>
                <w:rFonts w:eastAsia="Times New Roman" w:cs="Arial"/>
                <w:color w:val="000000" w:themeColor="text1"/>
              </w:rPr>
              <w:t>nych</w:t>
            </w:r>
            <w:r w:rsidR="00533A10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703C5682" w14:textId="77777777" w:rsidR="00F74AD6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</w:p>
          <w:p w14:paraId="596BDD88" w14:textId="1A6D4AEA" w:rsidR="00206B44" w:rsidRPr="00D768B8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N</w:t>
            </w:r>
            <w:r w:rsidR="00F74AD6">
              <w:rPr>
                <w:rFonts w:eastAsia="Times New Roman" w:cs="Arial"/>
                <w:color w:val="000000" w:themeColor="text1"/>
              </w:rPr>
              <w:t>ie było potrzeby korzystania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w </w:t>
            </w:r>
            <w:r w:rsidRPr="00D768B8">
              <w:rPr>
                <w:rFonts w:eastAsia="Times New Roman" w:cs="Arial"/>
                <w:color w:val="000000" w:themeColor="text1"/>
              </w:rPr>
              <w:t>zakończonych W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>yd</w:t>
            </w:r>
            <w:r w:rsidRPr="00D768B8">
              <w:rPr>
                <w:rFonts w:eastAsia="Times New Roman" w:cs="Arial"/>
                <w:color w:val="000000" w:themeColor="text1"/>
              </w:rPr>
              <w:t>arzeniach</w:t>
            </w:r>
            <w:r w:rsidR="00F74AD6">
              <w:rPr>
                <w:rFonts w:eastAsia="Times New Roman" w:cs="Arial"/>
                <w:color w:val="000000" w:themeColor="text1"/>
              </w:rPr>
              <w:t xml:space="preserve"> i 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>nicjat</w:t>
            </w:r>
            <w:r w:rsidRPr="00D768B8">
              <w:rPr>
                <w:rFonts w:eastAsia="Times New Roman" w:cs="Arial"/>
                <w:color w:val="000000" w:themeColor="text1"/>
              </w:rPr>
              <w:t>ywach.</w:t>
            </w:r>
          </w:p>
          <w:p w14:paraId="600BB2E1" w14:textId="77777777" w:rsidR="004F3CC0" w:rsidRPr="00D768B8" w:rsidRDefault="004F3CC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0C47090" w14:textId="77777777" w:rsidR="004F3CC0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10.</w:t>
            </w:r>
            <w:r w:rsidR="00533A10" w:rsidRPr="00F74AD6">
              <w:rPr>
                <w:rFonts w:eastAsia="Times New Roman" w:cs="Arial"/>
                <w:b/>
                <w:color w:val="000000" w:themeColor="text1"/>
              </w:rPr>
              <w:t>Dane.gov.pl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30D3B82" w14:textId="71042C68" w:rsidR="00B04B50" w:rsidRPr="00F74AD6" w:rsidRDefault="004F3CC0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53EAC766" w14:textId="6D38C5A3" w:rsidR="00533A10" w:rsidRPr="00D768B8" w:rsidRDefault="00533A1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lastRenderedPageBreak/>
              <w:t>Wykorzystanie usług zaplecza dostępnych w ramach dane.gov.pl do serwowania usług API poprzez platformę API CPA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137AAE60" w14:textId="62D8FD23" w:rsidR="00206B44" w:rsidRPr="00F74AD6" w:rsidRDefault="00D768B8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Z</w:t>
            </w:r>
            <w:r w:rsidR="00920A4E">
              <w:rPr>
                <w:rFonts w:eastAsia="Times New Roman" w:cs="Arial"/>
                <w:b/>
                <w:color w:val="000000" w:themeColor="text1"/>
              </w:rPr>
              <w:t>akończono</w:t>
            </w:r>
          </w:p>
          <w:p w14:paraId="4C06B6F9" w14:textId="77777777" w:rsidR="00D768B8" w:rsidRPr="00D768B8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AF501EA" w14:textId="32ADD219" w:rsidR="00D768B8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11.</w:t>
            </w:r>
            <w:r w:rsidR="00533A10" w:rsidRPr="00F74AD6">
              <w:rPr>
                <w:rFonts w:eastAsia="Times New Roman" w:cs="Arial"/>
                <w:b/>
                <w:color w:val="000000" w:themeColor="text1"/>
              </w:rPr>
              <w:t>System Rejestrów Państwowych</w:t>
            </w:r>
            <w:r w:rsidR="00D768B8" w:rsidRPr="00F74AD6">
              <w:rPr>
                <w:rFonts w:eastAsia="Times New Roman" w:cs="Arial"/>
                <w:b/>
                <w:color w:val="000000" w:themeColor="text1"/>
              </w:rPr>
              <w:t xml:space="preserve"> (SRP)</w:t>
            </w:r>
          </w:p>
          <w:p w14:paraId="7E61C570" w14:textId="11325530" w:rsidR="00B04B50" w:rsidRPr="00F74AD6" w:rsidRDefault="00D768B8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06C76DE6" w14:textId="5A430945" w:rsidR="00086CA6" w:rsidRPr="00D768B8" w:rsidRDefault="00533A10" w:rsidP="00533A1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środowiskami testowymi w celu realizacji usł</w:t>
            </w:r>
            <w:r w:rsidR="00592B97">
              <w:rPr>
                <w:rFonts w:eastAsia="Times New Roman" w:cs="Arial"/>
                <w:color w:val="000000" w:themeColor="text1"/>
              </w:rPr>
              <w:t>ug API w oparciu o zanonimizowa</w:t>
            </w:r>
            <w:r w:rsidRPr="00D768B8">
              <w:rPr>
                <w:rFonts w:eastAsia="Times New Roman" w:cs="Arial"/>
                <w:color w:val="000000" w:themeColor="text1"/>
              </w:rPr>
              <w:t>ne dane. Realizowany w przypadku niedostępności ZPA.</w:t>
            </w:r>
          </w:p>
          <w:p w14:paraId="1A4E1381" w14:textId="6DDFA595" w:rsidR="00D768B8" w:rsidRPr="00F74AD6" w:rsidRDefault="00D768B8" w:rsidP="00D768B8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9657BE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1A462252" w14:textId="77777777" w:rsidR="00206B44" w:rsidRDefault="00D768B8" w:rsidP="00D768B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 xml:space="preserve">Powodem jest zmiana </w:t>
            </w:r>
            <w:r w:rsidR="009657BE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Pr="00D768B8">
              <w:rPr>
                <w:rFonts w:eastAsia="Times New Roman" w:cs="Arial"/>
                <w:color w:val="000000" w:themeColor="text1"/>
              </w:rPr>
              <w:t>zakresu Inicjatyw.</w:t>
            </w:r>
          </w:p>
          <w:p w14:paraId="48B2A703" w14:textId="77777777" w:rsidR="00FA3CD9" w:rsidRPr="004041A4" w:rsidRDefault="00FA3CD9" w:rsidP="00D768B8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4041A4">
              <w:rPr>
                <w:rFonts w:eastAsia="Times New Roman" w:cs="Arial"/>
                <w:b/>
                <w:color w:val="000000" w:themeColor="text1"/>
              </w:rPr>
              <w:t>12. WIIP</w:t>
            </w:r>
          </w:p>
          <w:p w14:paraId="11860527" w14:textId="77777777" w:rsidR="004041A4" w:rsidRPr="00F74AD6" w:rsidRDefault="004041A4" w:rsidP="004041A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Korzystanie</w:t>
            </w:r>
          </w:p>
          <w:p w14:paraId="53C468DC" w14:textId="324DBEA3" w:rsidR="004041A4" w:rsidRPr="004041A4" w:rsidRDefault="004041A4" w:rsidP="004041A4">
            <w:pPr>
              <w:spacing w:after="0" w:line="240" w:lineRule="auto"/>
              <w:ind w:right="1"/>
            </w:pPr>
            <w:r>
              <w:t>N</w:t>
            </w:r>
            <w:r w:rsidRPr="00FC3B1D">
              <w:t>awiązanie współpracy z projektem w celu przygotowania planów zastępczych.</w:t>
            </w:r>
            <w:r>
              <w:t xml:space="preserve"> Efektem działań jest dostęp do zasobów infrastrukturalnych w ramach WIIP i uruchomienie wszystkich środowisk.</w:t>
            </w:r>
          </w:p>
          <w:p w14:paraId="3D34B455" w14:textId="77777777" w:rsidR="004041A4" w:rsidRDefault="004041A4" w:rsidP="004041A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Zawieszono</w:t>
            </w:r>
          </w:p>
          <w:p w14:paraId="19746C7A" w14:textId="6EB59F71" w:rsidR="00FA3CD9" w:rsidRPr="00533A10" w:rsidRDefault="00FA3CD9" w:rsidP="00D768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AD5" w14:paraId="77391E61" w14:textId="77777777">
        <w:tc>
          <w:tcPr>
            <w:tcW w:w="2547" w:type="dxa"/>
            <w:shd w:val="clear" w:color="auto" w:fill="auto"/>
          </w:tcPr>
          <w:p w14:paraId="172BCCBC" w14:textId="648052CB" w:rsidR="00543AD5" w:rsidRPr="00E97E6F" w:rsidRDefault="003C4B20">
            <w:pPr>
              <w:spacing w:after="0" w:line="240" w:lineRule="auto"/>
            </w:pPr>
            <w:r w:rsidRPr="00E97E6F">
              <w:lastRenderedPageBreak/>
              <w:t>Produkt P2: Procedury f</w:t>
            </w:r>
            <w:r w:rsidR="005F4668" w:rsidRPr="00E97E6F">
              <w:t>unkcjonowania CPA obejmujące mię</w:t>
            </w:r>
            <w:r w:rsidRPr="00E97E6F">
              <w:t>dzy innymi:</w:t>
            </w:r>
          </w:p>
          <w:p w14:paraId="065A0BBC" w14:textId="77777777" w:rsidR="00543AD5" w:rsidRPr="00E97E6F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 w:rsidRPr="00E97E6F">
              <w:t>Zasady wyłaniania nowych inicjatyw i wydarzeń.</w:t>
            </w:r>
          </w:p>
          <w:p w14:paraId="4780F10E" w14:textId="5B9887C1" w:rsidR="00543AD5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 w:rsidRPr="00E97E6F">
              <w:t>Zasady naboru wnioskodawców</w:t>
            </w:r>
            <w:r w:rsidR="00FB3E3E" w:rsidRPr="00E97E6F">
              <w:t>, prowadzenia i oceny inicjatyw</w:t>
            </w:r>
          </w:p>
        </w:tc>
        <w:tc>
          <w:tcPr>
            <w:tcW w:w="1700" w:type="dxa"/>
            <w:shd w:val="clear" w:color="auto" w:fill="auto"/>
          </w:tcPr>
          <w:p w14:paraId="020EDCAE" w14:textId="77777777" w:rsidR="00AB076D" w:rsidRDefault="003C4B20" w:rsidP="003548B2">
            <w:pPr>
              <w:tabs>
                <w:tab w:val="center" w:pos="742"/>
              </w:tabs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</w:t>
            </w:r>
            <w:r w:rsidR="0009505E">
              <w:rPr>
                <w:rFonts w:eastAsia="Times New Roman" w:cs="Arial"/>
                <w:color w:val="000000" w:themeColor="text1"/>
              </w:rPr>
              <w:t>12</w:t>
            </w:r>
            <w:r>
              <w:rPr>
                <w:rFonts w:eastAsia="Times New Roman" w:cs="Arial"/>
                <w:color w:val="000000" w:themeColor="text1"/>
              </w:rPr>
              <w:t>-2021</w:t>
            </w:r>
          </w:p>
          <w:p w14:paraId="38AC840C" w14:textId="1A50FCE4" w:rsidR="00543AD5" w:rsidRDefault="00AB076D" w:rsidP="003548B2">
            <w:pPr>
              <w:tabs>
                <w:tab w:val="center" w:pos="742"/>
              </w:tabs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AB076D">
              <w:rPr>
                <w:rFonts w:eastAsia="Times New Roman" w:cs="Arial"/>
                <w:color w:val="000000" w:themeColor="text1"/>
              </w:rPr>
              <w:t xml:space="preserve">Termin osiągnięcia kamienia milowego został zmieniony na podstawie </w:t>
            </w:r>
            <w:r w:rsidRPr="00C77AEF">
              <w:rPr>
                <w:rFonts w:eastAsia="Times New Roman" w:cs="Arial"/>
                <w:color w:val="000000" w:themeColor="text1"/>
              </w:rPr>
              <w:t>podpisa</w:t>
            </w:r>
            <w:r w:rsidR="00C77AEF" w:rsidRPr="00C77AEF">
              <w:rPr>
                <w:rFonts w:eastAsia="Times New Roman" w:cs="Arial"/>
                <w:color w:val="000000" w:themeColor="text1"/>
              </w:rPr>
              <w:t>nego 26 sierpnia 2021 r. Aneksu</w:t>
            </w:r>
            <w:r w:rsidRPr="00AB076D">
              <w:rPr>
                <w:rFonts w:eastAsia="Times New Roman" w:cs="Arial"/>
                <w:color w:val="000000" w:themeColor="text1"/>
              </w:rPr>
              <w:t xml:space="preserve"> nr 2 (POPC.02.02.00-00-0032/19-02</w:t>
            </w:r>
            <w:r w:rsidR="003548B2">
              <w:rPr>
                <w:rFonts w:eastAsia="Times New Roman" w:cs="Arial"/>
                <w:color w:val="000000" w:themeColor="text1"/>
              </w:rPr>
              <w:tab/>
            </w:r>
          </w:p>
        </w:tc>
        <w:tc>
          <w:tcPr>
            <w:tcW w:w="1844" w:type="dxa"/>
            <w:shd w:val="clear" w:color="auto" w:fill="auto"/>
          </w:tcPr>
          <w:p w14:paraId="4D5291A8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73AAB6F1" w14:textId="6630BCB5" w:rsidR="00543AD5" w:rsidRDefault="00E97E6F" w:rsidP="00ED6A8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7E6F">
              <w:rPr>
                <w:rFonts w:eastAsia="Times New Roman" w:cs="Arial"/>
                <w:color w:val="000000" w:themeColor="text1"/>
              </w:rPr>
              <w:t>Produkt nie został wdrożony w zakładanym terminie z uwagi na fakt, że część zespołu CPA decy</w:t>
            </w:r>
            <w:r>
              <w:rPr>
                <w:rFonts w:eastAsia="Times New Roman" w:cs="Arial"/>
                <w:color w:val="000000" w:themeColor="text1"/>
              </w:rPr>
              <w:t>zją Ministra została oddelegowa</w:t>
            </w:r>
            <w:r w:rsidRPr="00E97E6F">
              <w:rPr>
                <w:rFonts w:eastAsia="Times New Roman" w:cs="Arial"/>
                <w:color w:val="000000" w:themeColor="text1"/>
              </w:rPr>
              <w:t xml:space="preserve">na do </w:t>
            </w:r>
            <w:r>
              <w:rPr>
                <w:rFonts w:eastAsia="Times New Roman" w:cs="Arial"/>
                <w:color w:val="000000" w:themeColor="text1"/>
              </w:rPr>
              <w:t>prac nad systemem SEPIS i harmo</w:t>
            </w:r>
            <w:r w:rsidRPr="00E97E6F">
              <w:rPr>
                <w:rFonts w:eastAsia="Times New Roman" w:cs="Arial"/>
                <w:color w:val="000000" w:themeColor="text1"/>
              </w:rPr>
              <w:t>nogram prac przewidziany w projekcie CPA nie mógł być rea</w:t>
            </w:r>
            <w:r>
              <w:rPr>
                <w:rFonts w:eastAsia="Times New Roman" w:cs="Arial"/>
                <w:color w:val="000000" w:themeColor="text1"/>
              </w:rPr>
              <w:t>lizowany zgodnie z założe</w:t>
            </w:r>
            <w:r w:rsidRPr="00E97E6F">
              <w:rPr>
                <w:rFonts w:eastAsia="Times New Roman" w:cs="Arial"/>
                <w:color w:val="000000" w:themeColor="text1"/>
              </w:rPr>
              <w:t>n</w:t>
            </w:r>
            <w:r w:rsidRPr="00ED6A8A">
              <w:rPr>
                <w:rFonts w:eastAsia="Times New Roman" w:cs="Arial"/>
                <w:color w:val="000000" w:themeColor="text1"/>
              </w:rPr>
              <w:t>iami.  Beneficjent</w:t>
            </w:r>
            <w:r w:rsidR="00ED6A8A" w:rsidRPr="00ED6A8A">
              <w:rPr>
                <w:rFonts w:eastAsia="Times New Roman" w:cs="Arial"/>
                <w:color w:val="000000" w:themeColor="text1"/>
              </w:rPr>
              <w:t xml:space="preserve"> wydłużył okres </w:t>
            </w:r>
            <w:r w:rsidRPr="00ED6A8A">
              <w:rPr>
                <w:rFonts w:eastAsia="Times New Roman" w:cs="Arial"/>
                <w:color w:val="000000" w:themeColor="text1"/>
              </w:rPr>
              <w:t>realizacji projektu do 31.12.2021 r.</w:t>
            </w:r>
          </w:p>
        </w:tc>
      </w:tr>
      <w:tr w:rsidR="00543AD5" w14:paraId="680CDC71" w14:textId="77777777">
        <w:tc>
          <w:tcPr>
            <w:tcW w:w="2547" w:type="dxa"/>
            <w:shd w:val="clear" w:color="auto" w:fill="auto"/>
          </w:tcPr>
          <w:p w14:paraId="654F5F8E" w14:textId="77777777" w:rsidR="00543AD5" w:rsidRDefault="003C4B20">
            <w:pPr>
              <w:spacing w:after="0" w:line="240" w:lineRule="auto"/>
            </w:pPr>
            <w:r>
              <w:t>Produkt P3: Portal współpracy ze społecznością CPA, w tym:</w:t>
            </w:r>
          </w:p>
          <w:p w14:paraId="3111AF37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społecznościowy</w:t>
            </w:r>
          </w:p>
          <w:p w14:paraId="0E7BA8A6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dewelopera</w:t>
            </w:r>
          </w:p>
        </w:tc>
        <w:tc>
          <w:tcPr>
            <w:tcW w:w="1700" w:type="dxa"/>
            <w:shd w:val="clear" w:color="auto" w:fill="auto"/>
          </w:tcPr>
          <w:p w14:paraId="3901AFB6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10BEB6EE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7F7C8BD1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Portal udostępniony w ramach infrastruktury i CMS wytworzonego w ramach projektu gov.pl</w:t>
            </w:r>
          </w:p>
        </w:tc>
      </w:tr>
      <w:tr w:rsidR="00543AD5" w14:paraId="5B2D21AD" w14:textId="77777777">
        <w:tc>
          <w:tcPr>
            <w:tcW w:w="2547" w:type="dxa"/>
            <w:shd w:val="clear" w:color="auto" w:fill="auto"/>
          </w:tcPr>
          <w:p w14:paraId="5071BD48" w14:textId="77777777" w:rsidR="00543AD5" w:rsidRDefault="003C4B20">
            <w:pPr>
              <w:spacing w:after="0" w:line="240" w:lineRule="auto"/>
            </w:pPr>
            <w:r>
              <w:t xml:space="preserve">Produkt P4: Repozytorium usług API (faza I – </w:t>
            </w:r>
            <w:r>
              <w:lastRenderedPageBreak/>
              <w:t>pierwsza grupa usług), w tym:</w:t>
            </w:r>
          </w:p>
          <w:p w14:paraId="36775204" w14:textId="0097388C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Testowe usługi API</w:t>
            </w:r>
            <w:r w:rsidR="00FB3E3E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1A923BA5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lastRenderedPageBreak/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7706FAC3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61CEF22A" w14:textId="77777777" w:rsidR="00543AD5" w:rsidRPr="00186DBC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32E14832" w14:textId="77777777">
        <w:tc>
          <w:tcPr>
            <w:tcW w:w="2547" w:type="dxa"/>
            <w:shd w:val="clear" w:color="auto" w:fill="auto"/>
          </w:tcPr>
          <w:p w14:paraId="6D71E3AE" w14:textId="77777777" w:rsidR="00543AD5" w:rsidRPr="003C2B02" w:rsidRDefault="003C4B20">
            <w:pPr>
              <w:spacing w:after="0" w:line="240" w:lineRule="auto"/>
            </w:pPr>
            <w:r w:rsidRPr="003C2B02">
              <w:t>Produkt P5: Repozytorium usług API (faza II – druga grupa usług), w tym:</w:t>
            </w:r>
          </w:p>
          <w:p w14:paraId="45387163" w14:textId="4E937967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 w:rsidRPr="003C2B02">
              <w:t>Testowe usługi API</w:t>
            </w:r>
            <w:r w:rsidR="00FB3E3E" w:rsidRPr="003C2B02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2162C174" w14:textId="020C2CFD" w:rsidR="00543AD5" w:rsidRPr="006D51B6" w:rsidRDefault="00B5046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 w:rsidRPr="00BD6960">
              <w:rPr>
                <w:rFonts w:eastAsia="Times New Roman" w:cs="Arial"/>
                <w:color w:val="000000" w:themeColor="text1"/>
              </w:rPr>
              <w:t>22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-04-2021</w:t>
            </w:r>
          </w:p>
        </w:tc>
        <w:tc>
          <w:tcPr>
            <w:tcW w:w="1844" w:type="dxa"/>
            <w:shd w:val="clear" w:color="auto" w:fill="auto"/>
          </w:tcPr>
          <w:p w14:paraId="64A4347D" w14:textId="6DF738F8" w:rsidR="00543AD5" w:rsidRDefault="0009505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30-06-2021</w:t>
            </w:r>
          </w:p>
        </w:tc>
        <w:tc>
          <w:tcPr>
            <w:tcW w:w="3542" w:type="dxa"/>
            <w:shd w:val="clear" w:color="auto" w:fill="auto"/>
          </w:tcPr>
          <w:p w14:paraId="0A7E85D7" w14:textId="169C07D5" w:rsidR="00543AD5" w:rsidRDefault="003C2B02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3C2B02">
              <w:rPr>
                <w:rFonts w:eastAsia="Times New Roman" w:cs="Arial"/>
                <w:color w:val="000000" w:themeColor="text1"/>
              </w:rPr>
              <w:t>Produkt nie został wdrożony w zakładanym terminie z uwagi na fakt, że część zespołu CPA decy</w:t>
            </w:r>
            <w:r w:rsidR="00BD72B7">
              <w:rPr>
                <w:rFonts w:eastAsia="Times New Roman" w:cs="Arial"/>
                <w:color w:val="000000" w:themeColor="text1"/>
              </w:rPr>
              <w:t>zją Ministra została oddelegowa</w:t>
            </w:r>
            <w:r w:rsidRPr="003C2B02">
              <w:rPr>
                <w:rFonts w:eastAsia="Times New Roman" w:cs="Arial"/>
                <w:color w:val="000000" w:themeColor="text1"/>
              </w:rPr>
              <w:t xml:space="preserve">na do </w:t>
            </w:r>
            <w:r w:rsidR="00BD72B7">
              <w:rPr>
                <w:rFonts w:eastAsia="Times New Roman" w:cs="Arial"/>
                <w:color w:val="000000" w:themeColor="text1"/>
              </w:rPr>
              <w:t>prac nad systemem SEPIS i harmo</w:t>
            </w:r>
            <w:r w:rsidRPr="003C2B02">
              <w:rPr>
                <w:rFonts w:eastAsia="Times New Roman" w:cs="Arial"/>
                <w:color w:val="000000" w:themeColor="text1"/>
              </w:rPr>
              <w:t>nogram prac przewidziany w projekcie CPA nie mógł b</w:t>
            </w:r>
            <w:r w:rsidR="00BD72B7">
              <w:rPr>
                <w:rFonts w:eastAsia="Times New Roman" w:cs="Arial"/>
                <w:color w:val="000000" w:themeColor="text1"/>
              </w:rPr>
              <w:t>yć realizowany zgodnie z założe</w:t>
            </w:r>
            <w:r w:rsidRPr="003C2B02">
              <w:rPr>
                <w:rFonts w:eastAsia="Times New Roman" w:cs="Arial"/>
                <w:color w:val="000000" w:themeColor="text1"/>
              </w:rPr>
              <w:t>nia</w:t>
            </w:r>
            <w:r w:rsidRPr="00C8165B">
              <w:rPr>
                <w:rFonts w:eastAsia="Times New Roman" w:cs="Arial"/>
                <w:color w:val="000000" w:themeColor="text1"/>
              </w:rPr>
              <w:t xml:space="preserve">mi.  </w:t>
            </w:r>
            <w:r w:rsidR="00C8165B" w:rsidRPr="00C8165B">
              <w:rPr>
                <w:rFonts w:eastAsia="Times New Roman" w:cs="Arial"/>
                <w:color w:val="000000" w:themeColor="text1"/>
              </w:rPr>
              <w:t>Beneficjent wydłużył okres realizacji projektu do 31.12.2021 r.</w:t>
            </w:r>
          </w:p>
        </w:tc>
      </w:tr>
      <w:tr w:rsidR="00543AD5" w14:paraId="256623EA" w14:textId="77777777">
        <w:tc>
          <w:tcPr>
            <w:tcW w:w="2547" w:type="dxa"/>
            <w:shd w:val="clear" w:color="auto" w:fill="auto"/>
          </w:tcPr>
          <w:p w14:paraId="079B7DC2" w14:textId="77777777" w:rsidR="00543AD5" w:rsidRDefault="003C4B20">
            <w:pPr>
              <w:spacing w:after="0" w:line="240" w:lineRule="auto"/>
            </w:pPr>
            <w:r>
              <w:t>Produkt P6: Raport podsumowujący funkcjonowanie CPA na podstawie</w:t>
            </w:r>
          </w:p>
          <w:p w14:paraId="73343BE9" w14:textId="77777777" w:rsidR="00543AD5" w:rsidRDefault="003C4B20">
            <w:pPr>
              <w:spacing w:after="0" w:line="240" w:lineRule="auto"/>
            </w:pPr>
            <w:r>
              <w:t>udostępnionych prototypów i działań, zawierający</w:t>
            </w:r>
          </w:p>
          <w:p w14:paraId="35EB61F1" w14:textId="67D50E8E" w:rsidR="00543AD5" w:rsidRDefault="003C4B20">
            <w:pPr>
              <w:spacing w:after="0" w:line="240" w:lineRule="auto"/>
              <w:rPr>
                <w:b/>
              </w:rPr>
            </w:pPr>
            <w:r>
              <w:t>rekomendacje dotyczące dalszego wykorzystania rozwiązani</w:t>
            </w:r>
            <w:r w:rsidR="00FB3E3E">
              <w:t>a</w:t>
            </w:r>
          </w:p>
        </w:tc>
        <w:tc>
          <w:tcPr>
            <w:tcW w:w="1700" w:type="dxa"/>
            <w:shd w:val="clear" w:color="auto" w:fill="auto"/>
          </w:tcPr>
          <w:p w14:paraId="57623762" w14:textId="77777777" w:rsidR="00543AD5" w:rsidRDefault="000A4162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</w:t>
            </w:r>
            <w:r w:rsidR="00B50460" w:rsidRPr="00BD6960">
              <w:rPr>
                <w:rFonts w:eastAsia="Times New Roman" w:cs="Arial"/>
                <w:color w:val="000000" w:themeColor="text1"/>
              </w:rPr>
              <w:t>-</w:t>
            </w:r>
            <w:r>
              <w:rPr>
                <w:rFonts w:eastAsia="Times New Roman" w:cs="Arial"/>
                <w:color w:val="000000" w:themeColor="text1"/>
              </w:rPr>
              <w:t>12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-2021</w:t>
            </w:r>
          </w:p>
          <w:p w14:paraId="22191D9D" w14:textId="0AD087BF" w:rsidR="00F34BEE" w:rsidRPr="006D51B6" w:rsidRDefault="00F34BEE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 w:rsidRPr="00AB076D">
              <w:rPr>
                <w:rFonts w:eastAsia="Times New Roman" w:cs="Arial"/>
                <w:color w:val="000000" w:themeColor="text1"/>
              </w:rPr>
              <w:t xml:space="preserve">Termin osiągnięcia kamienia milowego został zmieniony na podstawie </w:t>
            </w:r>
            <w:r w:rsidRPr="005D2F68">
              <w:rPr>
                <w:rFonts w:eastAsia="Times New Roman" w:cs="Arial"/>
                <w:color w:val="000000" w:themeColor="text1"/>
              </w:rPr>
              <w:t>podpisa</w:t>
            </w:r>
            <w:r w:rsidR="005D2F68" w:rsidRPr="005D2F68">
              <w:rPr>
                <w:rFonts w:eastAsia="Times New Roman" w:cs="Arial"/>
                <w:color w:val="000000" w:themeColor="text1"/>
              </w:rPr>
              <w:t>nego 26 sierpnia 2021 r. Aneksu</w:t>
            </w:r>
            <w:r w:rsidRPr="00AB076D">
              <w:rPr>
                <w:rFonts w:eastAsia="Times New Roman" w:cs="Arial"/>
                <w:color w:val="000000" w:themeColor="text1"/>
              </w:rPr>
              <w:t xml:space="preserve"> nr 2 (POPC.02.02.00-00-0032/19-02</w:t>
            </w:r>
          </w:p>
        </w:tc>
        <w:tc>
          <w:tcPr>
            <w:tcW w:w="1844" w:type="dxa"/>
            <w:shd w:val="clear" w:color="auto" w:fill="auto"/>
          </w:tcPr>
          <w:p w14:paraId="3891D95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4E4AC4A1" w14:textId="5046C8DB" w:rsidR="00543AD5" w:rsidRDefault="00543AD5" w:rsidP="00CE2D2F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</w:p>
        </w:tc>
      </w:tr>
      <w:tr w:rsidR="00543AD5" w14:paraId="088F14A6" w14:textId="77777777">
        <w:tc>
          <w:tcPr>
            <w:tcW w:w="2547" w:type="dxa"/>
            <w:shd w:val="clear" w:color="auto" w:fill="auto"/>
          </w:tcPr>
          <w:p w14:paraId="5A7C902A" w14:textId="469EF7C7" w:rsidR="00543AD5" w:rsidRDefault="003C4B20">
            <w:pPr>
              <w:spacing w:after="0" w:line="240" w:lineRule="auto"/>
            </w:pPr>
            <w:r>
              <w:t>Produkt P7: Wdrożony proces prototy</w:t>
            </w:r>
            <w:r w:rsidR="00FB3E3E">
              <w:t>powania usług API administracji</w:t>
            </w:r>
          </w:p>
        </w:tc>
        <w:tc>
          <w:tcPr>
            <w:tcW w:w="1700" w:type="dxa"/>
            <w:shd w:val="clear" w:color="auto" w:fill="auto"/>
          </w:tcPr>
          <w:p w14:paraId="23CA1E1A" w14:textId="77777777" w:rsidR="00543AD5" w:rsidRDefault="000A4162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</w:t>
            </w:r>
            <w:r>
              <w:rPr>
                <w:rFonts w:eastAsia="Times New Roman" w:cs="Arial"/>
                <w:color w:val="000000" w:themeColor="text1"/>
              </w:rPr>
              <w:t>12</w:t>
            </w:r>
            <w:r w:rsidR="003C4B20" w:rsidRPr="00BD6960">
              <w:rPr>
                <w:rFonts w:eastAsia="Times New Roman" w:cs="Arial"/>
                <w:color w:val="000000" w:themeColor="text1"/>
              </w:rPr>
              <w:t>-2021</w:t>
            </w:r>
          </w:p>
          <w:p w14:paraId="77B37206" w14:textId="457AE2F6" w:rsidR="00F34BEE" w:rsidRPr="006D51B6" w:rsidRDefault="00F34BEE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 w:rsidRPr="00AB076D">
              <w:rPr>
                <w:rFonts w:eastAsia="Times New Roman" w:cs="Arial"/>
                <w:color w:val="000000" w:themeColor="text1"/>
              </w:rPr>
              <w:t xml:space="preserve">Termin osiągnięcia kamienia milowego został zmieniony na podstawie </w:t>
            </w:r>
            <w:r w:rsidRPr="006A38D2">
              <w:rPr>
                <w:rFonts w:eastAsia="Times New Roman" w:cs="Arial"/>
                <w:color w:val="000000" w:themeColor="text1"/>
              </w:rPr>
              <w:t>podpisa</w:t>
            </w:r>
            <w:r w:rsidR="006A38D2" w:rsidRPr="006A38D2">
              <w:rPr>
                <w:rFonts w:eastAsia="Times New Roman" w:cs="Arial"/>
                <w:color w:val="000000" w:themeColor="text1"/>
              </w:rPr>
              <w:t>nego 26 sierpnia 2021 r. Aneksu</w:t>
            </w:r>
            <w:r w:rsidRPr="00AB076D">
              <w:rPr>
                <w:rFonts w:eastAsia="Times New Roman" w:cs="Arial"/>
                <w:color w:val="000000" w:themeColor="text1"/>
              </w:rPr>
              <w:t xml:space="preserve"> nr 2 (POPC.02.02.00-00-0032/19-02</w:t>
            </w:r>
          </w:p>
        </w:tc>
        <w:tc>
          <w:tcPr>
            <w:tcW w:w="1844" w:type="dxa"/>
            <w:shd w:val="clear" w:color="auto" w:fill="auto"/>
          </w:tcPr>
          <w:p w14:paraId="3A2A370F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08EFD11" w14:textId="46944F34" w:rsidR="00543AD5" w:rsidRDefault="00543AD5" w:rsidP="00CE2D2F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7417E2DE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3675DB0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F8214E9" w14:textId="77777777" w:rsidR="00543AD5" w:rsidRDefault="003C4B20" w:rsidP="00206B44">
      <w:pPr>
        <w:pStyle w:val="Akapitzlist"/>
        <w:numPr>
          <w:ilvl w:val="0"/>
          <w:numId w:val="10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</w:p>
    <w:p w14:paraId="7C68FEAA" w14:textId="77777777" w:rsidR="00543AD5" w:rsidRDefault="003C4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14:paraId="6413F355" w14:textId="77777777" w:rsidTr="00B672AF">
        <w:trPr>
          <w:tblHeader/>
        </w:trPr>
        <w:tc>
          <w:tcPr>
            <w:tcW w:w="3144" w:type="dxa"/>
            <w:shd w:val="clear" w:color="auto" w:fill="D0CECE" w:themeFill="background2" w:themeFillShade="E6"/>
            <w:vAlign w:val="center"/>
          </w:tcPr>
          <w:p w14:paraId="62FEBFA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43AD5" w14:paraId="7EAE1CE5" w14:textId="77777777" w:rsidTr="00B672AF">
        <w:tc>
          <w:tcPr>
            <w:tcW w:w="3144" w:type="dxa"/>
            <w:shd w:val="clear" w:color="auto" w:fill="auto"/>
          </w:tcPr>
          <w:p w14:paraId="6C6AFF6F" w14:textId="77777777" w:rsidR="00543AD5" w:rsidRDefault="003C4B20">
            <w:pPr>
              <w:pStyle w:val="Default"/>
            </w:pPr>
            <w:r w:rsidRPr="004A74C3">
              <w:rPr>
                <w:sz w:val="22"/>
                <w:szCs w:val="22"/>
              </w:rPr>
              <w:t>Brak współpracy gestorów API</w:t>
            </w:r>
            <w:r>
              <w:rPr>
                <w:sz w:val="22"/>
                <w:szCs w:val="22"/>
              </w:rPr>
              <w:t xml:space="preserve"> </w:t>
            </w:r>
          </w:p>
          <w:p w14:paraId="5FD63351" w14:textId="77777777" w:rsidR="00543AD5" w:rsidRDefault="00543AD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377B9D24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1C484B71" w14:textId="77777777" w:rsidR="00543AD5" w:rsidRDefault="003C4B20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373" w:type="dxa"/>
            <w:shd w:val="clear" w:color="auto" w:fill="auto"/>
          </w:tcPr>
          <w:p w14:paraId="1C82EDF8" w14:textId="77777777" w:rsidR="00543AD5" w:rsidRDefault="003C4B20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Mitygacja</w:t>
            </w:r>
            <w:proofErr w:type="spellEnd"/>
            <w:r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wczesna komunikacja z gestorami, przygotowanie sposobu realizacji w jak najmniejszym stopniu angażującym gestorów. </w:t>
            </w:r>
          </w:p>
          <w:p w14:paraId="58C780D8" w14:textId="485F484F" w:rsidR="00592B97" w:rsidRDefault="00592B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Spodziewanym efektem działań będzie wypracowanie najlepszej formy współpracy</w:t>
            </w:r>
            <w:r w:rsidR="0000112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stanowiącej odpowiedź na potrzeby gestorów API przy jednoczesnym </w:t>
            </w:r>
            <w:r w:rsidR="00A32B87">
              <w:rPr>
                <w:sz w:val="22"/>
                <w:szCs w:val="22"/>
              </w:rPr>
              <w:t>uwzględnieniu potrzeb projektu.</w:t>
            </w:r>
          </w:p>
          <w:p w14:paraId="4179F4B8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Brak zmian w stosunku do poprzedniego okresu.</w:t>
            </w:r>
          </w:p>
        </w:tc>
      </w:tr>
      <w:tr w:rsidR="00543AD5" w14:paraId="7F6F5A15" w14:textId="77777777" w:rsidTr="00B672AF">
        <w:tc>
          <w:tcPr>
            <w:tcW w:w="3144" w:type="dxa"/>
            <w:shd w:val="clear" w:color="auto" w:fill="auto"/>
          </w:tcPr>
          <w:p w14:paraId="7897662A" w14:textId="77777777" w:rsidR="00543AD5" w:rsidRDefault="003C4B20">
            <w:pPr>
              <w:spacing w:after="0" w:line="240" w:lineRule="auto"/>
            </w:pPr>
            <w:r>
              <w:t>Opóźnienia w procedurach przetargowych</w:t>
            </w:r>
          </w:p>
        </w:tc>
        <w:tc>
          <w:tcPr>
            <w:tcW w:w="1687" w:type="dxa"/>
            <w:shd w:val="clear" w:color="auto" w:fill="auto"/>
          </w:tcPr>
          <w:p w14:paraId="63374587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5A733803" w14:textId="6438D13D" w:rsidR="00543AD5" w:rsidRDefault="00F34BEE">
            <w:pPr>
              <w:spacing w:after="0" w:line="240" w:lineRule="auto"/>
            </w:pPr>
            <w:r>
              <w:t>Wysokie</w:t>
            </w:r>
          </w:p>
        </w:tc>
        <w:tc>
          <w:tcPr>
            <w:tcW w:w="2373" w:type="dxa"/>
            <w:shd w:val="clear" w:color="auto" w:fill="auto"/>
          </w:tcPr>
          <w:p w14:paraId="1138C17B" w14:textId="3707013C" w:rsidR="00543AD5" w:rsidRDefault="003C4B20">
            <w:pPr>
              <w:spacing w:after="0" w:line="240" w:lineRule="auto"/>
              <w:ind w:right="24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r</w:t>
            </w:r>
            <w:r>
              <w:t>ozpoczynanie postępowań jak najwcześniej, identyfikacja interesariuszy zamówienia, angażowanie i uzgadnianie szczegółowych opisów zamówienia z interesariuszami.</w:t>
            </w:r>
          </w:p>
          <w:p w14:paraId="5BC2705A" w14:textId="0A65D339" w:rsidR="00A32B87" w:rsidRDefault="00A32B87">
            <w:pPr>
              <w:spacing w:after="0" w:line="240" w:lineRule="auto"/>
              <w:ind w:right="24"/>
            </w:pPr>
            <w:r>
              <w:t>Spodziewanym efektem działań będzie terminowe przeprowadzenie postępowań</w:t>
            </w:r>
            <w:r w:rsidR="0000112C">
              <w:t>,</w:t>
            </w:r>
            <w:r>
              <w:t xml:space="preserve"> a tym samym terminową realizację założeń projektu.</w:t>
            </w:r>
          </w:p>
          <w:p w14:paraId="49633EDC" w14:textId="77777777" w:rsidR="00543AD5" w:rsidRDefault="003C4B20">
            <w:pPr>
              <w:spacing w:after="0" w:line="240" w:lineRule="auto"/>
              <w:ind w:right="24"/>
            </w:pPr>
            <w:r>
              <w:t>Brak zmian w stosunku do poprzedniego okresu.</w:t>
            </w:r>
          </w:p>
        </w:tc>
      </w:tr>
      <w:tr w:rsidR="00543AD5" w14:paraId="02C076A7" w14:textId="77777777" w:rsidTr="00B672AF">
        <w:tc>
          <w:tcPr>
            <w:tcW w:w="3144" w:type="dxa"/>
            <w:shd w:val="clear" w:color="auto" w:fill="auto"/>
          </w:tcPr>
          <w:p w14:paraId="6DDFC180" w14:textId="5E67C2DD" w:rsidR="00543AD5" w:rsidRDefault="003C4B20">
            <w:pPr>
              <w:spacing w:after="0" w:line="240" w:lineRule="auto"/>
            </w:pPr>
            <w:r>
              <w:t xml:space="preserve">Wyczerpywanie się godzin na dotychczasowych umowach wykonawczych </w:t>
            </w:r>
            <w:r w:rsidR="00FB3E3E">
              <w:t>i brak kontraktacji nowych umów</w:t>
            </w:r>
          </w:p>
        </w:tc>
        <w:tc>
          <w:tcPr>
            <w:tcW w:w="1687" w:type="dxa"/>
            <w:shd w:val="clear" w:color="auto" w:fill="auto"/>
          </w:tcPr>
          <w:p w14:paraId="3C0F3EAA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4002830B" w:rsidR="00543AD5" w:rsidRDefault="00F34BEE">
            <w:pPr>
              <w:spacing w:after="0" w:line="240" w:lineRule="auto"/>
            </w:pPr>
            <w:r>
              <w:t>Wysokie</w:t>
            </w:r>
          </w:p>
        </w:tc>
        <w:tc>
          <w:tcPr>
            <w:tcW w:w="2373" w:type="dxa"/>
            <w:shd w:val="clear" w:color="auto" w:fill="auto"/>
          </w:tcPr>
          <w:p w14:paraId="542DC819" w14:textId="4EEAA682" w:rsidR="00543AD5" w:rsidRDefault="003C4B20">
            <w:pPr>
              <w:spacing w:after="0" w:line="240" w:lineRule="auto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m</w:t>
            </w:r>
            <w:r>
              <w:t>onitorowanie utylizacji godzin, wczesna komunikacja i rozpoczynanie procedur kontynuacji kontraktacji członków zespołu.</w:t>
            </w:r>
          </w:p>
          <w:p w14:paraId="209F8E80" w14:textId="32DAE358" w:rsidR="00A32B87" w:rsidRDefault="00A32B87">
            <w:pPr>
              <w:spacing w:after="0" w:line="240" w:lineRule="auto"/>
            </w:pPr>
            <w:r>
              <w:t>Spodziewanym efektem działań będzie możliwość podjęcia decyzji zarządczych w kontekście zdefiniowanego ry</w:t>
            </w:r>
            <w:r>
              <w:lastRenderedPageBreak/>
              <w:t>zyka, tak aby nie zagrożona została realizacja założeń projektu.</w:t>
            </w:r>
          </w:p>
          <w:p w14:paraId="7B623CB9" w14:textId="77777777" w:rsidR="00543AD5" w:rsidRDefault="003C4B20">
            <w:pPr>
              <w:spacing w:after="0" w:line="240" w:lineRule="auto"/>
            </w:pPr>
            <w:r>
              <w:t>Brak zmian w stosunku do poprzedniego okresu.</w:t>
            </w:r>
          </w:p>
        </w:tc>
      </w:tr>
      <w:tr w:rsidR="00543AD5" w14:paraId="26EB40AD" w14:textId="77777777" w:rsidTr="00B672AF">
        <w:tc>
          <w:tcPr>
            <w:tcW w:w="3144" w:type="dxa"/>
            <w:shd w:val="clear" w:color="auto" w:fill="auto"/>
          </w:tcPr>
          <w:p w14:paraId="2C949872" w14:textId="6CD7E696" w:rsidR="00543AD5" w:rsidRDefault="003C4B20">
            <w:pPr>
              <w:spacing w:after="0" w:line="240" w:lineRule="auto"/>
            </w:pPr>
            <w:r>
              <w:lastRenderedPageBreak/>
              <w:t>Odejścia członków zespołu projektowego</w:t>
            </w:r>
          </w:p>
        </w:tc>
        <w:tc>
          <w:tcPr>
            <w:tcW w:w="1687" w:type="dxa"/>
            <w:shd w:val="clear" w:color="auto" w:fill="auto"/>
          </w:tcPr>
          <w:p w14:paraId="5BA91499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0088117F" w14:textId="1A46F313" w:rsidR="00543AD5" w:rsidRDefault="00F34BEE">
            <w:pPr>
              <w:spacing w:after="0" w:line="240" w:lineRule="auto"/>
            </w:pPr>
            <w:r>
              <w:t>Wysokie</w:t>
            </w:r>
          </w:p>
        </w:tc>
        <w:tc>
          <w:tcPr>
            <w:tcW w:w="2373" w:type="dxa"/>
            <w:shd w:val="clear" w:color="auto" w:fill="auto"/>
          </w:tcPr>
          <w:p w14:paraId="7F13D56D" w14:textId="4F30D51B" w:rsidR="00543AD5" w:rsidRDefault="003C4B20">
            <w:pPr>
              <w:spacing w:after="0" w:line="240" w:lineRule="auto"/>
              <w:ind w:right="1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m</w:t>
            </w:r>
            <w:r>
              <w:t>onitorowanie nastrojów w zespole, otwarta komunikacja z zespołem, niezwłoczne uruchamianie procedur kontraktacji członków zespołu w przypadku powzięcia informacji o planowanym odejściu.</w:t>
            </w:r>
          </w:p>
          <w:p w14:paraId="36EFC1D1" w14:textId="33CC0959" w:rsidR="00543AD5" w:rsidRDefault="00EB0EA0">
            <w:pPr>
              <w:spacing w:after="0" w:line="240" w:lineRule="auto"/>
              <w:ind w:right="1"/>
            </w:pPr>
            <w:r>
              <w:t>Faktycznym</w:t>
            </w:r>
            <w:r w:rsidR="00A32B87">
              <w:t xml:space="preserve"> efektem działań </w:t>
            </w:r>
            <w:r>
              <w:t xml:space="preserve">było zrekrutowanie w krótkim czasie </w:t>
            </w:r>
            <w:r w:rsidR="00E61F49">
              <w:t xml:space="preserve">od zgłoszenia rezygnacji  z dalszej pracy w projekcie </w:t>
            </w:r>
            <w:r>
              <w:t>dwóch członków zespoł</w:t>
            </w:r>
            <w:r w:rsidR="00E61F49">
              <w:t>u</w:t>
            </w:r>
            <w:r w:rsidR="0000112C">
              <w:t xml:space="preserve"> </w:t>
            </w:r>
            <w:r>
              <w:t>(Starszy kierownik projektu, Lider zespołu wsparcia)</w:t>
            </w:r>
            <w:r w:rsidR="00E61F49">
              <w:t xml:space="preserve">. Zmiana ta nie </w:t>
            </w:r>
            <w:r w:rsidR="0012340F">
              <w:t>wpłynęła na ciągłość realizowanych zadań w projekcie.</w:t>
            </w:r>
            <w:r w:rsidR="00FC3B1D">
              <w:t xml:space="preserve"> </w:t>
            </w:r>
            <w:r w:rsidR="003C4B20">
              <w:t>Brak zmian w stosunku do poprzedniego okresu.</w:t>
            </w:r>
          </w:p>
        </w:tc>
      </w:tr>
      <w:tr w:rsidR="00DE43A3" w14:paraId="0B11947E" w14:textId="77777777" w:rsidTr="00B672AF">
        <w:tc>
          <w:tcPr>
            <w:tcW w:w="3144" w:type="dxa"/>
            <w:shd w:val="clear" w:color="auto" w:fill="auto"/>
          </w:tcPr>
          <w:p w14:paraId="6BA76337" w14:textId="40FB71C4" w:rsidR="00DE43A3" w:rsidRDefault="00DE43A3">
            <w:pPr>
              <w:spacing w:after="0" w:line="240" w:lineRule="auto"/>
            </w:pPr>
            <w:r w:rsidRPr="004A74C3">
              <w:t>Brak zasobów do realizacji projektu</w:t>
            </w:r>
          </w:p>
        </w:tc>
        <w:tc>
          <w:tcPr>
            <w:tcW w:w="1687" w:type="dxa"/>
            <w:shd w:val="clear" w:color="auto" w:fill="auto"/>
          </w:tcPr>
          <w:p w14:paraId="0F9624A0" w14:textId="325840D4" w:rsidR="00DE43A3" w:rsidRDefault="00DE43A3">
            <w:pPr>
              <w:spacing w:after="0" w:line="240" w:lineRule="auto"/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0E07DA7B" w14:textId="6AD4BB44" w:rsidR="00DE43A3" w:rsidRDefault="00E70EDE">
            <w:pPr>
              <w:spacing w:after="0" w:line="240" w:lineRule="auto"/>
            </w:pPr>
            <w:r>
              <w:t>Wysokie</w:t>
            </w:r>
          </w:p>
        </w:tc>
        <w:tc>
          <w:tcPr>
            <w:tcW w:w="2373" w:type="dxa"/>
            <w:shd w:val="clear" w:color="auto" w:fill="auto"/>
          </w:tcPr>
          <w:p w14:paraId="6DC0FABD" w14:textId="644EE1EE" w:rsidR="00DE43A3" w:rsidRDefault="00DE43A3">
            <w:pPr>
              <w:spacing w:after="0" w:line="240" w:lineRule="auto"/>
              <w:ind w:right="1"/>
            </w:pPr>
            <w:proofErr w:type="spellStart"/>
            <w:r w:rsidRPr="005C78F0">
              <w:t>Mitygacja</w:t>
            </w:r>
            <w:proofErr w:type="spellEnd"/>
            <w:r w:rsidRPr="005C78F0">
              <w:t xml:space="preserve">: </w:t>
            </w:r>
            <w:r w:rsidR="00920A4E">
              <w:t>w</w:t>
            </w:r>
            <w:r w:rsidRPr="005C78F0">
              <w:t>spółdzielenie zasobów z innymi projektami w zakresie ról projektanta UX oraz projektanta grafiki i zaangażowanie nowych osób na nieobsadzone role</w:t>
            </w:r>
            <w:r w:rsidR="00686672">
              <w:t>.</w:t>
            </w:r>
          </w:p>
          <w:p w14:paraId="5E5557AE" w14:textId="57397FF5" w:rsidR="005C78F0" w:rsidRPr="005C78F0" w:rsidRDefault="0012340F">
            <w:pPr>
              <w:spacing w:after="0" w:line="240" w:lineRule="auto"/>
              <w:ind w:right="1"/>
            </w:pPr>
            <w:r>
              <w:t>Faktycznym efektem działań jest współpraca z pracownikami MC w zakresie</w:t>
            </w:r>
            <w:r w:rsidRPr="005C78F0">
              <w:t xml:space="preserve"> w zakresie ról projektanta UX oraz projektanta grafiki</w:t>
            </w:r>
            <w:r>
              <w:t xml:space="preserve"> oraz obsługa niektórych zadań wynikających z założeń projektu przez zespół podstawow</w:t>
            </w:r>
            <w:r w:rsidR="00D27094">
              <w:t xml:space="preserve">y do </w:t>
            </w:r>
            <w:r w:rsidR="00D27094">
              <w:lastRenderedPageBreak/>
              <w:t>czasu zaangażowania osób na nieobsadzone stanowiska.</w:t>
            </w:r>
          </w:p>
        </w:tc>
      </w:tr>
      <w:tr w:rsidR="00A11FAA" w14:paraId="3DBCD686" w14:textId="77777777" w:rsidTr="00B672AF">
        <w:tc>
          <w:tcPr>
            <w:tcW w:w="3144" w:type="dxa"/>
            <w:shd w:val="clear" w:color="auto" w:fill="auto"/>
          </w:tcPr>
          <w:p w14:paraId="35300471" w14:textId="1F6020E5" w:rsidR="00A11FAA" w:rsidRDefault="00A11FAA">
            <w:pPr>
              <w:spacing w:after="0" w:line="240" w:lineRule="auto"/>
            </w:pPr>
            <w:r w:rsidRPr="004A74C3">
              <w:lastRenderedPageBreak/>
              <w:t>Opóźnienia w realizacji projektu WIIP</w:t>
            </w:r>
          </w:p>
        </w:tc>
        <w:tc>
          <w:tcPr>
            <w:tcW w:w="1687" w:type="dxa"/>
            <w:shd w:val="clear" w:color="auto" w:fill="auto"/>
          </w:tcPr>
          <w:p w14:paraId="0E27291D" w14:textId="2C0F8F5F" w:rsidR="00A11FAA" w:rsidRDefault="00A11FAA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0F60EAA5" w14:textId="3A930652" w:rsidR="00A11FAA" w:rsidRDefault="00A11FAA">
            <w:pPr>
              <w:spacing w:after="0" w:line="240" w:lineRule="auto"/>
            </w:pPr>
            <w:r>
              <w:t>Niskie</w:t>
            </w:r>
          </w:p>
        </w:tc>
        <w:tc>
          <w:tcPr>
            <w:tcW w:w="2373" w:type="dxa"/>
            <w:shd w:val="clear" w:color="auto" w:fill="auto"/>
          </w:tcPr>
          <w:p w14:paraId="25733C43" w14:textId="0CDA72F5" w:rsidR="00B000AA" w:rsidRDefault="00B000AA">
            <w:pPr>
              <w:spacing w:after="0" w:line="240" w:lineRule="auto"/>
              <w:ind w:right="1"/>
            </w:pPr>
            <w:proofErr w:type="spellStart"/>
            <w:r>
              <w:t>Mitygacja</w:t>
            </w:r>
            <w:proofErr w:type="spellEnd"/>
            <w:r>
              <w:t xml:space="preserve">: </w:t>
            </w:r>
            <w:r w:rsidR="00920A4E">
              <w:t>m</w:t>
            </w:r>
            <w:r w:rsidRPr="00FC3B1D">
              <w:t>onitorowanie postępów prac w projekcie WI</w:t>
            </w:r>
            <w:r>
              <w:t>I</w:t>
            </w:r>
            <w:r w:rsidRPr="00FC3B1D">
              <w:t>P, nawiązanie współpracy z projektem w celu przygotowania planów zastępczych.</w:t>
            </w:r>
          </w:p>
          <w:p w14:paraId="0E3D84BE" w14:textId="11001CCE" w:rsidR="00B000AA" w:rsidRDefault="00B000AA">
            <w:pPr>
              <w:spacing w:after="0" w:line="240" w:lineRule="auto"/>
              <w:ind w:right="1"/>
            </w:pPr>
            <w:r>
              <w:t xml:space="preserve">Faktycznym efektem działań jest </w:t>
            </w:r>
            <w:r w:rsidR="00511554">
              <w:t>dostęp do zasobów infrastrukturalnych w ramach WIIP i uruchomienie wszystkich środowisk.</w:t>
            </w:r>
          </w:p>
          <w:p w14:paraId="14167CC2" w14:textId="3476A916" w:rsidR="005C78F0" w:rsidRPr="005C78F0" w:rsidRDefault="00686672">
            <w:pPr>
              <w:spacing w:after="0" w:line="240" w:lineRule="auto"/>
              <w:ind w:right="1"/>
            </w:pPr>
            <w:r w:rsidRPr="00686672">
              <w:t xml:space="preserve">Brak zmian w stosunku do poprzedniego </w:t>
            </w:r>
            <w:proofErr w:type="spellStart"/>
            <w:r w:rsidRPr="00686672">
              <w:t>okre-su</w:t>
            </w:r>
            <w:proofErr w:type="spellEnd"/>
            <w:r w:rsidRPr="00686672">
              <w:t>.</w:t>
            </w:r>
          </w:p>
        </w:tc>
      </w:tr>
      <w:tr w:rsidR="00A11FAA" w14:paraId="1DEA0B29" w14:textId="77777777" w:rsidTr="00B672AF">
        <w:tc>
          <w:tcPr>
            <w:tcW w:w="3144" w:type="dxa"/>
            <w:shd w:val="clear" w:color="auto" w:fill="auto"/>
          </w:tcPr>
          <w:p w14:paraId="6FFD2AB7" w14:textId="1CE889DC" w:rsidR="00A11FAA" w:rsidRPr="00DE43A3" w:rsidRDefault="00A11FAA">
            <w:pPr>
              <w:spacing w:after="0" w:line="240" w:lineRule="auto"/>
              <w:rPr>
                <w:highlight w:val="green"/>
              </w:rPr>
            </w:pPr>
            <w:r w:rsidRPr="004A74C3">
              <w:t>Opóźnienie kontraktacji wykonawcy usługi budowy i rozwoju społeczności CPA skutkujące ograniczonym zasięgiem inform</w:t>
            </w:r>
            <w:r w:rsidR="004A74C3">
              <w:t>acji o starcie i realizacji CPA</w:t>
            </w:r>
          </w:p>
        </w:tc>
        <w:tc>
          <w:tcPr>
            <w:tcW w:w="1687" w:type="dxa"/>
            <w:shd w:val="clear" w:color="auto" w:fill="auto"/>
          </w:tcPr>
          <w:p w14:paraId="5E5CA22B" w14:textId="5451737C" w:rsidR="00A11FAA" w:rsidRDefault="00A11FAA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2C636D8" w14:textId="33C826D8" w:rsidR="00A11FAA" w:rsidRDefault="00E70EDE">
            <w:pPr>
              <w:spacing w:after="0" w:line="240" w:lineRule="auto"/>
            </w:pPr>
            <w:r>
              <w:t>Wysokie</w:t>
            </w:r>
          </w:p>
        </w:tc>
        <w:tc>
          <w:tcPr>
            <w:tcW w:w="2373" w:type="dxa"/>
            <w:shd w:val="clear" w:color="auto" w:fill="auto"/>
          </w:tcPr>
          <w:p w14:paraId="56D78449" w14:textId="3EFD7307" w:rsidR="00A11FAA" w:rsidRDefault="00920A4E" w:rsidP="00A11FAA">
            <w:pPr>
              <w:spacing w:after="0" w:line="240" w:lineRule="auto"/>
              <w:ind w:right="1"/>
            </w:pPr>
            <w:proofErr w:type="spellStart"/>
            <w:r>
              <w:t>Mitygacja</w:t>
            </w:r>
            <w:proofErr w:type="spellEnd"/>
            <w:r>
              <w:t>: p</w:t>
            </w:r>
            <w:r w:rsidR="00A11FAA" w:rsidRPr="005C78F0">
              <w:t>rzygotowanie umowy z wykonawcą w taki sposób</w:t>
            </w:r>
            <w:r w:rsidR="00FC3B1D">
              <w:t>,</w:t>
            </w:r>
            <w:r w:rsidR="00A11FAA" w:rsidRPr="005C78F0">
              <w:t xml:space="preserve"> by komunikacja mogła wystartować w odpowiednim momencie pomimo opóźnień w kontraktacji. </w:t>
            </w:r>
          </w:p>
          <w:p w14:paraId="4C5DD6F6" w14:textId="38D04ADB" w:rsidR="00511554" w:rsidRPr="005C78F0" w:rsidRDefault="00511554" w:rsidP="00A11FAA">
            <w:pPr>
              <w:spacing w:after="0" w:line="240" w:lineRule="auto"/>
              <w:ind w:right="1"/>
            </w:pPr>
            <w:r>
              <w:t>Spodziewanym efektem będzie realizacja</w:t>
            </w:r>
            <w:r w:rsidR="00C37E81">
              <w:t xml:space="preserve"> zadania</w:t>
            </w:r>
            <w:r>
              <w:t xml:space="preserve"> budowy społeczności  bez </w:t>
            </w:r>
            <w:r w:rsidR="00C37E81">
              <w:t>zagrożenia dla założonych celów w projekcie.</w:t>
            </w:r>
          </w:p>
          <w:p w14:paraId="2932D38A" w14:textId="46FC5189" w:rsidR="00686672" w:rsidRPr="00A11FAA" w:rsidRDefault="00686672" w:rsidP="00A11FAA">
            <w:pPr>
              <w:spacing w:after="0" w:line="240" w:lineRule="auto"/>
              <w:ind w:right="1"/>
              <w:rPr>
                <w:u w:val="single"/>
              </w:rPr>
            </w:pPr>
            <w:r w:rsidRPr="00686672">
              <w:t xml:space="preserve">Brak zmian w stosunku do poprzedniego </w:t>
            </w:r>
            <w:proofErr w:type="spellStart"/>
            <w:r w:rsidRPr="00686672">
              <w:t>okre-su</w:t>
            </w:r>
            <w:proofErr w:type="spellEnd"/>
            <w:r w:rsidRPr="00686672">
              <w:t>.</w:t>
            </w:r>
          </w:p>
        </w:tc>
      </w:tr>
    </w:tbl>
    <w:p w14:paraId="6FECA290" w14:textId="77777777" w:rsidR="00543AD5" w:rsidRPr="003C0DE8" w:rsidRDefault="00543AD5">
      <w:pPr>
        <w:spacing w:before="240" w:after="120"/>
        <w:rPr>
          <w:rFonts w:ascii="Arial" w:hAnsi="Arial" w:cs="Arial"/>
          <w:sz w:val="20"/>
          <w:szCs w:val="20"/>
        </w:rPr>
      </w:pPr>
    </w:p>
    <w:p w14:paraId="64255569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14:paraId="7512A78C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Default="003C4B2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2E903F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14:paraId="6047DDE1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9F64" w14:textId="1CFCB698" w:rsidR="00543AD5" w:rsidRDefault="003C4B20">
            <w:r>
              <w:t>Brak implementacji rekomendacji pro</w:t>
            </w:r>
            <w:r w:rsidR="00FB3E3E">
              <w:t>jektu w środowisku produkcyjnym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9B125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DAEEA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BEBA6" w14:textId="33DD2471" w:rsidR="00543AD5" w:rsidRDefault="003C4B20">
            <w:pPr>
              <w:spacing w:after="0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w</w:t>
            </w:r>
            <w:r>
              <w:t xml:space="preserve">ypracowanie na </w:t>
            </w:r>
            <w:proofErr w:type="spellStart"/>
            <w:r>
              <w:t>GovTech</w:t>
            </w:r>
            <w:proofErr w:type="spellEnd"/>
            <w:r>
              <w:t xml:space="preserve"> procesu implementacji wniosków w systemach produkcyjnych.</w:t>
            </w:r>
          </w:p>
          <w:p w14:paraId="2BEB9366" w14:textId="53EF33C4" w:rsidR="00F25686" w:rsidRDefault="00F25686">
            <w:pPr>
              <w:spacing w:after="0"/>
            </w:pPr>
            <w:r>
              <w:lastRenderedPageBreak/>
              <w:t>Spodziewanym efektem działań będzie implementacja rekomendacji w środowisku produkcyjnym.</w:t>
            </w:r>
          </w:p>
          <w:p w14:paraId="2CAC1254" w14:textId="77777777" w:rsidR="00543AD5" w:rsidRDefault="003C4B20">
            <w:pPr>
              <w:spacing w:after="0"/>
              <w:rPr>
                <w:b/>
                <w:bCs/>
              </w:rPr>
            </w:pPr>
            <w:r>
              <w:t>Brak zmian w stosunku do poprzedniego okresu.</w:t>
            </w:r>
          </w:p>
        </w:tc>
      </w:tr>
      <w:tr w:rsidR="00543AD5" w14:paraId="1B49E47C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7F7E0" w14:textId="596E4D97" w:rsidR="00543AD5" w:rsidRDefault="003C4B20">
            <w:r>
              <w:lastRenderedPageBreak/>
              <w:t>Niechę</w:t>
            </w:r>
            <w:r w:rsidR="00717E68">
              <w:t>ć Gestorów do brania udziału w Wydarzeniach i I</w:t>
            </w:r>
            <w:r w:rsidR="00FB3E3E">
              <w:t>nicjatywach projektu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D1EDE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62A5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9FC5" w14:textId="35EF0AA5" w:rsidR="00543AD5" w:rsidRDefault="003C4B20">
            <w:pPr>
              <w:spacing w:after="0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p</w:t>
            </w:r>
            <w:r>
              <w:t>romowanie</w:t>
            </w:r>
          </w:p>
          <w:p w14:paraId="28E83ECE" w14:textId="77777777" w:rsidR="00543AD5" w:rsidRDefault="003C4B20">
            <w:pPr>
              <w:spacing w:after="0"/>
            </w:pPr>
            <w:r>
              <w:t>wiedzy o projekcie i korzyściach płynących z jego realizacji. Umocowanie projektu na poziomie KRMC i</w:t>
            </w:r>
          </w:p>
          <w:p w14:paraId="70BE3070" w14:textId="77777777" w:rsidR="00543AD5" w:rsidRDefault="003C4B20">
            <w:pPr>
              <w:spacing w:after="0"/>
            </w:pPr>
            <w:r>
              <w:t>GovTech Polska.</w:t>
            </w:r>
          </w:p>
          <w:p w14:paraId="1AA1C990" w14:textId="0F31535D" w:rsidR="00F25686" w:rsidRDefault="00F25686">
            <w:pPr>
              <w:spacing w:after="0"/>
            </w:pPr>
            <w:r>
              <w:t>Spodziewanym efektem działań będzie zainteresowanie Gestorów udziałem w Wydarzeniach i Inicjatywach w ramach projektu CPA.</w:t>
            </w:r>
          </w:p>
          <w:p w14:paraId="4B551D17" w14:textId="77777777" w:rsidR="00543AD5" w:rsidRDefault="003C4B20">
            <w:pPr>
              <w:spacing w:after="0"/>
            </w:pPr>
            <w:r>
              <w:t>Brak zmian w stosunku do poprzedniego okresu.</w:t>
            </w:r>
          </w:p>
        </w:tc>
      </w:tr>
      <w:tr w:rsidR="009D0D9A" w14:paraId="3036ECF3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4D4F5" w14:textId="5512FFE7" w:rsidR="009D0D9A" w:rsidRDefault="009D0D9A">
            <w:r w:rsidRPr="009D0D9A">
              <w:t>Opóźnienia realizacji zadań, które wymagają współpracy i komunikacji z innymi Zespołami lub Interesariuszami spowodowane sytuacją wywołaną</w:t>
            </w:r>
            <w:r w:rsidR="00FB3E3E">
              <w:t xml:space="preserve"> przez zagrożenie koronawirusem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AA9E6" w14:textId="2FD2D12D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4AFCC" w14:textId="782E0446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84E87" w14:textId="0ED1E4C9" w:rsidR="009D0D9A" w:rsidRDefault="009D0D9A">
            <w:pPr>
              <w:spacing w:after="0"/>
            </w:pPr>
            <w:proofErr w:type="spellStart"/>
            <w:r>
              <w:t>Mitygacja</w:t>
            </w:r>
            <w:proofErr w:type="spellEnd"/>
            <w:r>
              <w:t xml:space="preserve">: </w:t>
            </w:r>
            <w:r w:rsidR="00920A4E">
              <w:t>w</w:t>
            </w:r>
            <w:r w:rsidRPr="009D0D9A">
              <w:t>ykorzystywanie alternatywnych środków komunikacji, próby przesuwania zadań w czasie w ramach poszczególnych etapów, bez straty dla terminów całego projektu.</w:t>
            </w:r>
          </w:p>
          <w:p w14:paraId="106A28AA" w14:textId="17FF6C66" w:rsidR="00F25686" w:rsidRDefault="00F25686">
            <w:pPr>
              <w:spacing w:after="0"/>
            </w:pPr>
            <w:r>
              <w:t>Faktycznym efektem realizacji działań jest przesunięcie terminu realizacji Etapu III, jak również wydłużenie okresu realizacji projektu o 90 dni.</w:t>
            </w:r>
          </w:p>
          <w:p w14:paraId="3E391DBF" w14:textId="1DEF8A3F" w:rsidR="008563C9" w:rsidRDefault="008563C9">
            <w:pPr>
              <w:spacing w:after="0"/>
            </w:pPr>
            <w:r w:rsidRPr="00686672">
              <w:t xml:space="preserve">Brak zmian </w:t>
            </w:r>
            <w:r>
              <w:t>w stosunku do poprzedniego okre</w:t>
            </w:r>
            <w:r w:rsidRPr="00686672">
              <w:t>su.</w:t>
            </w:r>
          </w:p>
        </w:tc>
      </w:tr>
      <w:tr w:rsidR="00B90A1F" w14:paraId="4F804D28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8054" w14:textId="4C520F94" w:rsidR="0014214F" w:rsidRPr="0014214F" w:rsidRDefault="00B90A1F" w:rsidP="0014214F">
            <w:pPr>
              <w:spacing w:after="0"/>
            </w:pPr>
            <w:r w:rsidRPr="0014214F">
              <w:t>Zaangażowanie Zespołu wykonawczego w prace związane z projektem SEPIS, związanym z walką z pandemią koronawirusa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5BDBAC" w14:textId="55089FBE" w:rsidR="00B90A1F" w:rsidRPr="0014214F" w:rsidRDefault="00B90A1F" w:rsidP="0014214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14214F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7486D" w14:textId="3BD159BB" w:rsidR="00B90A1F" w:rsidRPr="0014214F" w:rsidRDefault="00E70EDE" w:rsidP="0014214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A66B" w14:textId="77777777" w:rsidR="00B90A1F" w:rsidRDefault="00B90A1F" w:rsidP="0014214F">
            <w:pPr>
              <w:spacing w:after="0"/>
            </w:pPr>
            <w:proofErr w:type="spellStart"/>
            <w:r w:rsidRPr="0014214F">
              <w:t>Mitygacja</w:t>
            </w:r>
            <w:proofErr w:type="spellEnd"/>
            <w:r w:rsidRPr="0014214F">
              <w:t>: procentowy podział zaangażowania Zespołu wykonawczego pomiędzy CPA i SEPIS, cykliczna weryfikacja wykonywanej pracy.</w:t>
            </w:r>
          </w:p>
          <w:p w14:paraId="21CDC0B7" w14:textId="74C90728" w:rsidR="00065A9A" w:rsidRPr="0014214F" w:rsidRDefault="00065A9A" w:rsidP="0014214F">
            <w:pPr>
              <w:spacing w:after="0"/>
            </w:pPr>
            <w:r>
              <w:t xml:space="preserve">Faktycznym efektem działań jest ustalenie procentowego zaangażowania zespołu w taki sposób, aby </w:t>
            </w:r>
            <w:r>
              <w:lastRenderedPageBreak/>
              <w:t>nie było zagrożenia dla realizacji i osiągnięcia celów projektu.</w:t>
            </w:r>
          </w:p>
          <w:p w14:paraId="247249A7" w14:textId="1AB8BC37" w:rsidR="0014214F" w:rsidRPr="0014214F" w:rsidRDefault="00970540" w:rsidP="0014214F">
            <w:pPr>
              <w:spacing w:after="0"/>
            </w:pPr>
            <w:r w:rsidRPr="00970540">
              <w:t>Brak zmian w stosunku do poprzedniego okresu.</w:t>
            </w:r>
          </w:p>
        </w:tc>
      </w:tr>
      <w:tr w:rsidR="00B90A1F" w14:paraId="155D3434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82E2F" w14:textId="16D62DB5" w:rsidR="00B90A1F" w:rsidRDefault="00B90A1F" w:rsidP="00065A9A">
            <w:r>
              <w:lastRenderedPageBreak/>
              <w:t xml:space="preserve">Opóźnienia </w:t>
            </w:r>
            <w:r w:rsidR="00065A9A">
              <w:t>w</w:t>
            </w:r>
            <w:r>
              <w:t xml:space="preserve"> rekrutacji na stanowiska projektowe związane z budową Społeczności CPA, spowodowane likwidacją Ministerstwa Cyfryzacji oraz pandemią koronawirusa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083FC" w14:textId="7B0E3BDB" w:rsidR="00B90A1F" w:rsidRDefault="00B90A1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543C40" w14:textId="72427E32" w:rsidR="00B90A1F" w:rsidRDefault="00E70EDE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B4058" w14:textId="77777777" w:rsidR="00B90A1F" w:rsidRDefault="00B90A1F">
            <w:pPr>
              <w:spacing w:after="0"/>
            </w:pPr>
            <w:proofErr w:type="spellStart"/>
            <w:r w:rsidRPr="0014214F">
              <w:t>Mitygacja</w:t>
            </w:r>
            <w:proofErr w:type="spellEnd"/>
            <w:r w:rsidRPr="0014214F">
              <w:t>: poszukiwanie innych niż etatowe źródeł zatrudnienia (</w:t>
            </w:r>
            <w:proofErr w:type="spellStart"/>
            <w:r w:rsidRPr="0014214F">
              <w:t>bodyleasing</w:t>
            </w:r>
            <w:proofErr w:type="spellEnd"/>
            <w:r w:rsidRPr="0014214F">
              <w:t>), kontakt z KPRM w celu pomocy w rekrutacji, próba realizacji zadań dla wskazanych ról zasobami już włączonymi do Zespołu wykonawczego.</w:t>
            </w:r>
          </w:p>
          <w:p w14:paraId="339ABF4E" w14:textId="48265281" w:rsidR="002B307C" w:rsidRDefault="00496FA3">
            <w:pPr>
              <w:spacing w:after="0"/>
            </w:pPr>
            <w:r>
              <w:t xml:space="preserve">Faktycznym efektem działań </w:t>
            </w:r>
            <w:r w:rsidR="002B307C">
              <w:t>było przekazanie części zadań związanych z budową społeczności zatrudnionemu w projekcie koordynatorowi ds. Wydarzeń, który z racji posiadanych kompetencji mógł zająć się tym tematem w powierzonym zakresie. Z uwagi na termin zakończenia realizacji projektu, nabór na stanowisko specjalisty ds. budowy społeczności nie będzie prowadzony.</w:t>
            </w:r>
          </w:p>
          <w:p w14:paraId="69985E0E" w14:textId="260EC66F" w:rsidR="0014214F" w:rsidRDefault="0014214F">
            <w:pPr>
              <w:spacing w:after="0"/>
            </w:pPr>
            <w:bookmarkStart w:id="0" w:name="_GoBack"/>
            <w:bookmarkEnd w:id="0"/>
          </w:p>
        </w:tc>
      </w:tr>
    </w:tbl>
    <w:p w14:paraId="16A2CF3B" w14:textId="77777777" w:rsidR="00543AD5" w:rsidRPr="00D929B2" w:rsidRDefault="003C4B20" w:rsidP="00D929B2">
      <w:pPr>
        <w:pStyle w:val="Akapitzlist"/>
        <w:numPr>
          <w:ilvl w:val="0"/>
          <w:numId w:val="10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929B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F4CC84" w14:textId="77777777" w:rsidR="00543AD5" w:rsidRDefault="003C4B20">
      <w:pPr>
        <w:spacing w:after="0" w:line="240" w:lineRule="auto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n/d</w:t>
      </w:r>
    </w:p>
    <w:p w14:paraId="1056EC1A" w14:textId="77777777" w:rsidR="00543AD5" w:rsidRDefault="003C4B20" w:rsidP="00206B44">
      <w:pPr>
        <w:pStyle w:val="Akapitzlist"/>
        <w:numPr>
          <w:ilvl w:val="0"/>
          <w:numId w:val="10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1AC5691" w14:textId="77777777" w:rsidR="00543AD5" w:rsidRDefault="00543AD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B81F08F" w14:textId="77777777" w:rsidR="00543AD5" w:rsidRDefault="003C4B20">
      <w:pPr>
        <w:spacing w:before="36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Michał Przymusiński</w:t>
      </w:r>
    </w:p>
    <w:p w14:paraId="42F68FC4" w14:textId="6051F675" w:rsidR="00543AD5" w:rsidRDefault="00E331BC">
      <w:pPr>
        <w:spacing w:after="0"/>
        <w:jc w:val="both"/>
      </w:pPr>
      <w:r>
        <w:rPr>
          <w:rFonts w:eastAsia="Times New Roman" w:cs="Arial"/>
          <w:color w:val="000000" w:themeColor="text1"/>
        </w:rPr>
        <w:t xml:space="preserve">Zastępca </w:t>
      </w:r>
      <w:r w:rsidR="00A42497">
        <w:rPr>
          <w:rFonts w:eastAsia="Times New Roman" w:cs="Arial"/>
          <w:color w:val="000000" w:themeColor="text1"/>
        </w:rPr>
        <w:t>Dyrektor</w:t>
      </w:r>
      <w:r>
        <w:rPr>
          <w:rFonts w:eastAsia="Times New Roman" w:cs="Arial"/>
          <w:color w:val="000000" w:themeColor="text1"/>
        </w:rPr>
        <w:t>a</w:t>
      </w:r>
      <w:r w:rsidR="003C4B20">
        <w:rPr>
          <w:rFonts w:eastAsia="Times New Roman" w:cs="Arial"/>
          <w:color w:val="000000" w:themeColor="text1"/>
        </w:rPr>
        <w:t xml:space="preserve"> Departamentu Rozwoju Usług </w:t>
      </w:r>
    </w:p>
    <w:p w14:paraId="07F628C0" w14:textId="18654511" w:rsidR="00543AD5" w:rsidRDefault="00122765">
      <w:pPr>
        <w:spacing w:after="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Kancelaria Prezesa Rady Ministrów</w:t>
      </w:r>
    </w:p>
    <w:p w14:paraId="73BC0D52" w14:textId="11332D7A" w:rsidR="00543AD5" w:rsidRDefault="00255650" w:rsidP="00433C03">
      <w:pPr>
        <w:spacing w:after="0"/>
        <w:jc w:val="both"/>
      </w:pPr>
      <w:hyperlink r:id="rId8">
        <w:r w:rsidR="003C4B20">
          <w:rPr>
            <w:rStyle w:val="czeinternetowe"/>
            <w:rFonts w:eastAsia="Times New Roman"/>
          </w:rPr>
          <w:t>Michal.Przymusinski@mc.gov.pl</w:t>
        </w:r>
      </w:hyperlink>
    </w:p>
    <w:sectPr w:rsidR="00543AD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DF3D4" w14:textId="77777777" w:rsidR="00255650" w:rsidRDefault="00255650">
      <w:pPr>
        <w:spacing w:after="0" w:line="240" w:lineRule="auto"/>
      </w:pPr>
      <w:r>
        <w:separator/>
      </w:r>
    </w:p>
  </w:endnote>
  <w:endnote w:type="continuationSeparator" w:id="0">
    <w:p w14:paraId="796CE1BC" w14:textId="77777777" w:rsidR="00255650" w:rsidRDefault="00255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F34BEE" w:rsidRDefault="00F34BEE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22F61">
          <w:rPr>
            <w:b/>
            <w:bCs/>
            <w:noProof/>
            <w:sz w:val="24"/>
            <w:szCs w:val="24"/>
          </w:rPr>
          <w:t>14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F22F61">
          <w:rPr>
            <w:b/>
            <w:bCs/>
            <w:noProof/>
          </w:rPr>
          <w:t>14</w:t>
        </w:r>
        <w:r>
          <w:rPr>
            <w:b/>
            <w:bCs/>
          </w:rPr>
          <w:fldChar w:fldCharType="end"/>
        </w:r>
      </w:p>
    </w:sdtContent>
  </w:sdt>
  <w:p w14:paraId="166F852E" w14:textId="77777777" w:rsidR="00F34BEE" w:rsidRDefault="00F34B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8C97F" w14:textId="77777777" w:rsidR="00255650" w:rsidRDefault="00255650"/>
  </w:footnote>
  <w:footnote w:type="continuationSeparator" w:id="0">
    <w:p w14:paraId="7AC04C7E" w14:textId="77777777" w:rsidR="00255650" w:rsidRDefault="00255650">
      <w:r>
        <w:continuationSeparator/>
      </w:r>
    </w:p>
  </w:footnote>
  <w:footnote w:id="1">
    <w:p w14:paraId="559500E2" w14:textId="77777777" w:rsidR="00F34BEE" w:rsidRDefault="00F34BEE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504FBB03" w14:textId="77777777" w:rsidR="00F34BEE" w:rsidRDefault="00F34BEE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BE7C20"/>
    <w:multiLevelType w:val="multilevel"/>
    <w:tmpl w:val="55F89B4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02449"/>
    <w:multiLevelType w:val="hybridMultilevel"/>
    <w:tmpl w:val="F9FE1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62899"/>
    <w:multiLevelType w:val="multilevel"/>
    <w:tmpl w:val="4C1EABC8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42309"/>
    <w:multiLevelType w:val="multilevel"/>
    <w:tmpl w:val="ABC093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A32EE"/>
    <w:multiLevelType w:val="multilevel"/>
    <w:tmpl w:val="42E47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990319"/>
    <w:multiLevelType w:val="multilevel"/>
    <w:tmpl w:val="0B229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3ED37FE"/>
    <w:multiLevelType w:val="multilevel"/>
    <w:tmpl w:val="AFC6AD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25D3323"/>
    <w:multiLevelType w:val="hybridMultilevel"/>
    <w:tmpl w:val="3DFA1A76"/>
    <w:lvl w:ilvl="0" w:tplc="147E848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5"/>
  </w:num>
  <w:num w:numId="8">
    <w:abstractNumId w:val="2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5"/>
    <w:rsid w:val="0000112C"/>
    <w:rsid w:val="000128F6"/>
    <w:rsid w:val="00015095"/>
    <w:rsid w:val="0003661A"/>
    <w:rsid w:val="00045BEE"/>
    <w:rsid w:val="00062FFD"/>
    <w:rsid w:val="00065A9A"/>
    <w:rsid w:val="00086CA6"/>
    <w:rsid w:val="00087B16"/>
    <w:rsid w:val="0009505E"/>
    <w:rsid w:val="000A4162"/>
    <w:rsid w:val="000B7B0C"/>
    <w:rsid w:val="000C1E40"/>
    <w:rsid w:val="000F56BF"/>
    <w:rsid w:val="001015CB"/>
    <w:rsid w:val="00116532"/>
    <w:rsid w:val="0011674A"/>
    <w:rsid w:val="00122765"/>
    <w:rsid w:val="0012340F"/>
    <w:rsid w:val="00126466"/>
    <w:rsid w:val="00133CDE"/>
    <w:rsid w:val="00140B3B"/>
    <w:rsid w:val="0014214F"/>
    <w:rsid w:val="00146D3D"/>
    <w:rsid w:val="00164A79"/>
    <w:rsid w:val="00186DBC"/>
    <w:rsid w:val="001A2C97"/>
    <w:rsid w:val="001A3350"/>
    <w:rsid w:val="001B058B"/>
    <w:rsid w:val="001B1089"/>
    <w:rsid w:val="001B625E"/>
    <w:rsid w:val="001B6845"/>
    <w:rsid w:val="001B6B1C"/>
    <w:rsid w:val="001C07AE"/>
    <w:rsid w:val="001C726A"/>
    <w:rsid w:val="001D3A38"/>
    <w:rsid w:val="001E3BFF"/>
    <w:rsid w:val="001F768B"/>
    <w:rsid w:val="00206B44"/>
    <w:rsid w:val="002231A0"/>
    <w:rsid w:val="00230D3C"/>
    <w:rsid w:val="0023238C"/>
    <w:rsid w:val="00233A02"/>
    <w:rsid w:val="00241457"/>
    <w:rsid w:val="00255650"/>
    <w:rsid w:val="0029488B"/>
    <w:rsid w:val="002B0CE0"/>
    <w:rsid w:val="002B307C"/>
    <w:rsid w:val="002B7EF2"/>
    <w:rsid w:val="002D2DDC"/>
    <w:rsid w:val="0030047B"/>
    <w:rsid w:val="003023C9"/>
    <w:rsid w:val="0031675C"/>
    <w:rsid w:val="003423F2"/>
    <w:rsid w:val="003519E8"/>
    <w:rsid w:val="003548B2"/>
    <w:rsid w:val="00356AE9"/>
    <w:rsid w:val="00363BE3"/>
    <w:rsid w:val="0036657C"/>
    <w:rsid w:val="00395BB7"/>
    <w:rsid w:val="003C0DE8"/>
    <w:rsid w:val="003C2B02"/>
    <w:rsid w:val="003C49C7"/>
    <w:rsid w:val="003C4B20"/>
    <w:rsid w:val="003C67DD"/>
    <w:rsid w:val="003D08C2"/>
    <w:rsid w:val="003F09CA"/>
    <w:rsid w:val="003F2B14"/>
    <w:rsid w:val="004041A4"/>
    <w:rsid w:val="00405621"/>
    <w:rsid w:val="00411180"/>
    <w:rsid w:val="004265E9"/>
    <w:rsid w:val="0043048A"/>
    <w:rsid w:val="00433C03"/>
    <w:rsid w:val="0043645E"/>
    <w:rsid w:val="00440ED7"/>
    <w:rsid w:val="004411AA"/>
    <w:rsid w:val="00445BB3"/>
    <w:rsid w:val="00446C4E"/>
    <w:rsid w:val="004505FF"/>
    <w:rsid w:val="00472ACE"/>
    <w:rsid w:val="00485160"/>
    <w:rsid w:val="00487EE6"/>
    <w:rsid w:val="00496FA3"/>
    <w:rsid w:val="004A21FD"/>
    <w:rsid w:val="004A74C3"/>
    <w:rsid w:val="004C15AC"/>
    <w:rsid w:val="004C3104"/>
    <w:rsid w:val="004D26A5"/>
    <w:rsid w:val="004D2DB4"/>
    <w:rsid w:val="004E0038"/>
    <w:rsid w:val="004E52F6"/>
    <w:rsid w:val="004F3CC0"/>
    <w:rsid w:val="005011D9"/>
    <w:rsid w:val="00511554"/>
    <w:rsid w:val="0052237E"/>
    <w:rsid w:val="00524F74"/>
    <w:rsid w:val="00533A10"/>
    <w:rsid w:val="005436BB"/>
    <w:rsid w:val="00543AD5"/>
    <w:rsid w:val="00555E2D"/>
    <w:rsid w:val="00563C6C"/>
    <w:rsid w:val="00565E87"/>
    <w:rsid w:val="005723DC"/>
    <w:rsid w:val="00573A53"/>
    <w:rsid w:val="00592392"/>
    <w:rsid w:val="00592B97"/>
    <w:rsid w:val="0059595F"/>
    <w:rsid w:val="005A45E8"/>
    <w:rsid w:val="005B0AC5"/>
    <w:rsid w:val="005B383D"/>
    <w:rsid w:val="005B78DF"/>
    <w:rsid w:val="005C6290"/>
    <w:rsid w:val="005C78F0"/>
    <w:rsid w:val="005D2F68"/>
    <w:rsid w:val="005F3DB9"/>
    <w:rsid w:val="005F41F3"/>
    <w:rsid w:val="005F4668"/>
    <w:rsid w:val="00601E3B"/>
    <w:rsid w:val="00610D26"/>
    <w:rsid w:val="00612B13"/>
    <w:rsid w:val="00631F4E"/>
    <w:rsid w:val="006325D7"/>
    <w:rsid w:val="00642271"/>
    <w:rsid w:val="0064535B"/>
    <w:rsid w:val="0065513E"/>
    <w:rsid w:val="0066114A"/>
    <w:rsid w:val="006636A4"/>
    <w:rsid w:val="00666940"/>
    <w:rsid w:val="0068583B"/>
    <w:rsid w:val="00686672"/>
    <w:rsid w:val="00696013"/>
    <w:rsid w:val="006A38D2"/>
    <w:rsid w:val="006A4485"/>
    <w:rsid w:val="006B3BC7"/>
    <w:rsid w:val="006C530C"/>
    <w:rsid w:val="006D51B6"/>
    <w:rsid w:val="0070761A"/>
    <w:rsid w:val="00711648"/>
    <w:rsid w:val="00717DCC"/>
    <w:rsid w:val="00717E68"/>
    <w:rsid w:val="00735885"/>
    <w:rsid w:val="00742292"/>
    <w:rsid w:val="0075088C"/>
    <w:rsid w:val="00757CEE"/>
    <w:rsid w:val="0077351E"/>
    <w:rsid w:val="00775090"/>
    <w:rsid w:val="007960BA"/>
    <w:rsid w:val="007B0730"/>
    <w:rsid w:val="007B33DC"/>
    <w:rsid w:val="007B6ED1"/>
    <w:rsid w:val="007D047A"/>
    <w:rsid w:val="007D5806"/>
    <w:rsid w:val="007D6624"/>
    <w:rsid w:val="007E7070"/>
    <w:rsid w:val="007F4E16"/>
    <w:rsid w:val="00800EFE"/>
    <w:rsid w:val="00816DBB"/>
    <w:rsid w:val="008460A9"/>
    <w:rsid w:val="008500FD"/>
    <w:rsid w:val="008557C2"/>
    <w:rsid w:val="008563C9"/>
    <w:rsid w:val="008607BD"/>
    <w:rsid w:val="00866122"/>
    <w:rsid w:val="00881A6B"/>
    <w:rsid w:val="00884C2A"/>
    <w:rsid w:val="00885C1F"/>
    <w:rsid w:val="00891B4B"/>
    <w:rsid w:val="00894C02"/>
    <w:rsid w:val="008A0196"/>
    <w:rsid w:val="008A298B"/>
    <w:rsid w:val="008C07E9"/>
    <w:rsid w:val="008C11F6"/>
    <w:rsid w:val="008D0BB6"/>
    <w:rsid w:val="008D1125"/>
    <w:rsid w:val="008E281A"/>
    <w:rsid w:val="008F5908"/>
    <w:rsid w:val="008F6241"/>
    <w:rsid w:val="008F76D0"/>
    <w:rsid w:val="00906813"/>
    <w:rsid w:val="009074D1"/>
    <w:rsid w:val="0091314B"/>
    <w:rsid w:val="00915FD7"/>
    <w:rsid w:val="00920A4E"/>
    <w:rsid w:val="00920AE2"/>
    <w:rsid w:val="00927835"/>
    <w:rsid w:val="00950E21"/>
    <w:rsid w:val="00964FCA"/>
    <w:rsid w:val="009657BE"/>
    <w:rsid w:val="009666BB"/>
    <w:rsid w:val="00970540"/>
    <w:rsid w:val="00977E5A"/>
    <w:rsid w:val="00984CB7"/>
    <w:rsid w:val="00991664"/>
    <w:rsid w:val="009A3C36"/>
    <w:rsid w:val="009A4A5E"/>
    <w:rsid w:val="009A52B2"/>
    <w:rsid w:val="009D0D9A"/>
    <w:rsid w:val="009D339A"/>
    <w:rsid w:val="009D62E0"/>
    <w:rsid w:val="009D7453"/>
    <w:rsid w:val="009F6D65"/>
    <w:rsid w:val="00A03B35"/>
    <w:rsid w:val="00A10BEC"/>
    <w:rsid w:val="00A11883"/>
    <w:rsid w:val="00A11FAA"/>
    <w:rsid w:val="00A15817"/>
    <w:rsid w:val="00A26845"/>
    <w:rsid w:val="00A32B87"/>
    <w:rsid w:val="00A372A8"/>
    <w:rsid w:val="00A40562"/>
    <w:rsid w:val="00A42497"/>
    <w:rsid w:val="00A45D2B"/>
    <w:rsid w:val="00A95CC4"/>
    <w:rsid w:val="00AA691F"/>
    <w:rsid w:val="00AB076D"/>
    <w:rsid w:val="00AB3004"/>
    <w:rsid w:val="00AC2ECF"/>
    <w:rsid w:val="00AD3E94"/>
    <w:rsid w:val="00AD4CFC"/>
    <w:rsid w:val="00AF5A58"/>
    <w:rsid w:val="00B000AA"/>
    <w:rsid w:val="00B04B50"/>
    <w:rsid w:val="00B1013F"/>
    <w:rsid w:val="00B167B0"/>
    <w:rsid w:val="00B17E3B"/>
    <w:rsid w:val="00B44E12"/>
    <w:rsid w:val="00B50460"/>
    <w:rsid w:val="00B52BE4"/>
    <w:rsid w:val="00B55224"/>
    <w:rsid w:val="00B64AC8"/>
    <w:rsid w:val="00B658F3"/>
    <w:rsid w:val="00B672AF"/>
    <w:rsid w:val="00B74991"/>
    <w:rsid w:val="00B82C83"/>
    <w:rsid w:val="00B83B20"/>
    <w:rsid w:val="00B871EE"/>
    <w:rsid w:val="00B90A1F"/>
    <w:rsid w:val="00BA0F3E"/>
    <w:rsid w:val="00BA4F66"/>
    <w:rsid w:val="00BC105F"/>
    <w:rsid w:val="00BC4A9B"/>
    <w:rsid w:val="00BD6960"/>
    <w:rsid w:val="00BD7203"/>
    <w:rsid w:val="00BD72B7"/>
    <w:rsid w:val="00BF1C67"/>
    <w:rsid w:val="00BF1F9D"/>
    <w:rsid w:val="00BF3160"/>
    <w:rsid w:val="00BF3F0E"/>
    <w:rsid w:val="00BF57B1"/>
    <w:rsid w:val="00C077C0"/>
    <w:rsid w:val="00C112EB"/>
    <w:rsid w:val="00C161F2"/>
    <w:rsid w:val="00C20B17"/>
    <w:rsid w:val="00C23A10"/>
    <w:rsid w:val="00C31D81"/>
    <w:rsid w:val="00C37E81"/>
    <w:rsid w:val="00C43608"/>
    <w:rsid w:val="00C456CC"/>
    <w:rsid w:val="00C6052C"/>
    <w:rsid w:val="00C7517D"/>
    <w:rsid w:val="00C77AEF"/>
    <w:rsid w:val="00C8165B"/>
    <w:rsid w:val="00C82A8F"/>
    <w:rsid w:val="00CA5177"/>
    <w:rsid w:val="00CA6F95"/>
    <w:rsid w:val="00CA7624"/>
    <w:rsid w:val="00CB429E"/>
    <w:rsid w:val="00CB5950"/>
    <w:rsid w:val="00CB7594"/>
    <w:rsid w:val="00CC1F54"/>
    <w:rsid w:val="00CD6892"/>
    <w:rsid w:val="00CE022B"/>
    <w:rsid w:val="00CE2D2F"/>
    <w:rsid w:val="00CF42A3"/>
    <w:rsid w:val="00D04BC9"/>
    <w:rsid w:val="00D16493"/>
    <w:rsid w:val="00D206E1"/>
    <w:rsid w:val="00D22CBA"/>
    <w:rsid w:val="00D27094"/>
    <w:rsid w:val="00D43B5C"/>
    <w:rsid w:val="00D6135D"/>
    <w:rsid w:val="00D768B8"/>
    <w:rsid w:val="00D844F1"/>
    <w:rsid w:val="00D929B2"/>
    <w:rsid w:val="00D95BF1"/>
    <w:rsid w:val="00DB06DC"/>
    <w:rsid w:val="00DC2030"/>
    <w:rsid w:val="00DC3B6F"/>
    <w:rsid w:val="00DD4D52"/>
    <w:rsid w:val="00DD7388"/>
    <w:rsid w:val="00DE1B9E"/>
    <w:rsid w:val="00DE43A3"/>
    <w:rsid w:val="00DE6FF1"/>
    <w:rsid w:val="00E04A7B"/>
    <w:rsid w:val="00E331BC"/>
    <w:rsid w:val="00E36FA9"/>
    <w:rsid w:val="00E41D8A"/>
    <w:rsid w:val="00E61F49"/>
    <w:rsid w:val="00E70EDE"/>
    <w:rsid w:val="00E856DF"/>
    <w:rsid w:val="00E859EB"/>
    <w:rsid w:val="00E97E6F"/>
    <w:rsid w:val="00EA1D49"/>
    <w:rsid w:val="00EA6716"/>
    <w:rsid w:val="00EB0EA0"/>
    <w:rsid w:val="00EB6DB7"/>
    <w:rsid w:val="00EC42FE"/>
    <w:rsid w:val="00ED6A8A"/>
    <w:rsid w:val="00EF27C6"/>
    <w:rsid w:val="00F03EE1"/>
    <w:rsid w:val="00F14941"/>
    <w:rsid w:val="00F17CB7"/>
    <w:rsid w:val="00F22F61"/>
    <w:rsid w:val="00F25686"/>
    <w:rsid w:val="00F25850"/>
    <w:rsid w:val="00F25EF8"/>
    <w:rsid w:val="00F316E5"/>
    <w:rsid w:val="00F34BEE"/>
    <w:rsid w:val="00F35AE2"/>
    <w:rsid w:val="00F36442"/>
    <w:rsid w:val="00F42FD7"/>
    <w:rsid w:val="00F5383B"/>
    <w:rsid w:val="00F60848"/>
    <w:rsid w:val="00F66876"/>
    <w:rsid w:val="00F74AD6"/>
    <w:rsid w:val="00F76D39"/>
    <w:rsid w:val="00F86048"/>
    <w:rsid w:val="00F93096"/>
    <w:rsid w:val="00F941CA"/>
    <w:rsid w:val="00FA2BC6"/>
    <w:rsid w:val="00FA3CD9"/>
    <w:rsid w:val="00FB3E3E"/>
    <w:rsid w:val="00FC3B1D"/>
    <w:rsid w:val="00FD2E33"/>
    <w:rsid w:val="00FD5DCB"/>
    <w:rsid w:val="00FE0590"/>
    <w:rsid w:val="00FE0ACE"/>
    <w:rsid w:val="00FE3BC5"/>
    <w:rsid w:val="00FF193C"/>
    <w:rsid w:val="00F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8A3A25D3-1D12-405D-93E9-CE262292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1A4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B4497-ABCB-4798-9871-F2ECE02BE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14</Pages>
  <Words>2599</Words>
  <Characters>15595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18158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cp:keywords/>
  <dc:description/>
  <cp:lastModifiedBy>Sochacka Joanna</cp:lastModifiedBy>
  <cp:revision>19</cp:revision>
  <dcterms:created xsi:type="dcterms:W3CDTF">2021-10-13T18:28:00Z</dcterms:created>
  <dcterms:modified xsi:type="dcterms:W3CDTF">2021-10-18T11:49:00Z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